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60"/>
          <w:szCs w:val="60"/>
          <w:highlight w:val="none"/>
        </w:rPr>
      </w:pPr>
      <w:r/>
      <w:bookmarkStart w:id="0" w:name="OLE_LINK1"/>
      <w:r/>
      <w:bookmarkStart w:id="1" w:name="OLE_LINK2"/>
      <w:r>
        <w:rPr>
          <w:rFonts w:hint="eastAsia" w:ascii="宋体" w:hAnsi="宋体" w:eastAsia="宋体" w:cs="宋体"/>
          <w:color w:val="auto"/>
          <w:sz w:val="60"/>
          <w:szCs w:val="60"/>
          <w:highlight w:val="none"/>
        </w:rPr>
        <w:t xml:space="preserve">泰州市政府采购项目</w:t>
      </w:r>
      <w:bookmarkEnd w:id="0"/>
      <w:r/>
      <w:bookmarkEnd w:id="1"/>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6"/>
          <w:szCs w:val="36"/>
          <w:highlight w:val="none"/>
        </w:rPr>
      </w:pPr>
      <w:r/>
      <w:bookmarkStart w:id="2" w:name="_Toc28993"/>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 xml:space="preserve">竞争性磋商</w:t>
      </w:r>
      <w:r>
        <w:rPr>
          <w:rFonts w:hint="eastAsia" w:ascii="宋体" w:hAnsi="宋体" w:eastAsia="宋体" w:cs="宋体"/>
          <w:color w:val="auto"/>
          <w:sz w:val="40"/>
          <w:szCs w:val="40"/>
          <w:highlight w:val="none"/>
          <w:lang w:val="en-US" w:eastAsia="zh-CN"/>
        </w:rPr>
        <w:t xml:space="preserve">采购</w:t>
      </w:r>
      <w:r>
        <w:rPr>
          <w:rFonts w:hint="eastAsia" w:ascii="宋体" w:hAnsi="宋体" w:eastAsia="宋体" w:cs="宋体"/>
          <w:color w:val="auto"/>
          <w:sz w:val="40"/>
          <w:szCs w:val="40"/>
          <w:highlight w:val="none"/>
        </w:rPr>
        <w:t xml:space="preserve">文件</w:t>
      </w:r>
      <w:bookmarkEnd w:id="2"/>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（全流程电子化不见面开标）</w:t>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项目名称：</w:t>
      </w:r>
      <w:r>
        <w:rPr>
          <w:rFonts w:hint="eastAsia" w:ascii="宋体" w:hAnsi="宋体" w:eastAsia="宋体" w:cs="宋体"/>
          <w:color w:val="auto"/>
          <w:sz w:val="30"/>
          <w:szCs w:val="30"/>
          <w:highlight w:val="none"/>
          <w:lang w:eastAsia="zh-CN"/>
        </w:rPr>
        <w:t xml:space="preserve">泰州市公安局反诈骗和新型犯罪中心建设一体化专用操控调度工程</w:t>
      </w:r>
      <w:r/>
    </w:p>
    <w:p>
      <w:pPr>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项目编号：</w:t>
      </w:r>
      <w:r>
        <w:rPr>
          <w:rFonts w:hint="eastAsia" w:ascii="宋体" w:hAnsi="宋体" w:eastAsia="宋体" w:cs="宋体"/>
          <w:color w:val="auto"/>
          <w:sz w:val="30"/>
          <w:szCs w:val="30"/>
          <w:highlight w:val="none"/>
          <w:lang w:eastAsia="zh-CN"/>
        </w:rPr>
        <w:t xml:space="preserve">JSZC-321200-NJGJ-C2026-0019</w:t>
      </w:r>
      <w:r/>
    </w:p>
    <w:p>
      <w:pPr>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采购单位：</w:t>
      </w:r>
      <w:r>
        <w:rPr>
          <w:rFonts w:hint="eastAsia" w:ascii="宋体" w:hAnsi="宋体" w:eastAsia="宋体" w:cs="宋体"/>
          <w:color w:val="auto"/>
          <w:sz w:val="30"/>
          <w:szCs w:val="30"/>
          <w:highlight w:val="none"/>
          <w:lang w:eastAsia="zh-CN"/>
        </w:rPr>
        <w:t xml:space="preserve">泰州市公安局</w:t>
      </w:r>
      <w:r/>
    </w:p>
    <w:p>
      <w:pPr>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代理机构：</w:t>
      </w:r>
      <w:r>
        <w:rPr>
          <w:rFonts w:hint="eastAsia" w:ascii="宋体" w:hAnsi="宋体" w:eastAsia="宋体" w:cs="宋体"/>
          <w:color w:val="auto"/>
          <w:sz w:val="30"/>
          <w:szCs w:val="30"/>
          <w:highlight w:val="none"/>
          <w:lang w:eastAsia="zh-CN"/>
        </w:rPr>
        <w:t xml:space="preserve">南京国景工程项目管理有限公司</w:t>
      </w:r>
      <w:r/>
    </w:p>
    <w:p>
      <w:pPr>
        <w:jc w:val="center"/>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2026年</w:t>
      </w:r>
      <w:r>
        <w:rPr>
          <w:rFonts w:hint="eastAsia" w:ascii="宋体" w:hAnsi="宋体" w:cs="宋体"/>
          <w:color w:val="auto"/>
          <w:sz w:val="30"/>
          <w:szCs w:val="30"/>
          <w:highlight w:val="none"/>
          <w:lang w:val="en-US" w:eastAsia="zh-CN"/>
        </w:rPr>
        <w:t xml:space="preserve">8</w:t>
      </w:r>
      <w:r>
        <w:rPr>
          <w:rFonts w:hint="eastAsia" w:ascii="宋体" w:hAnsi="宋体" w:eastAsia="宋体" w:cs="宋体"/>
          <w:color w:val="auto"/>
          <w:sz w:val="30"/>
          <w:szCs w:val="30"/>
          <w:highlight w:val="none"/>
        </w:rPr>
        <w:t xml:space="preserve">月</w:t>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目  录</w:t>
      </w:r>
      <w:r/>
    </w:p>
    <w:p>
      <w:pPr>
        <w:pStyle w:val="1061"/>
        <w:ind w:firstLine="6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  竞争性磋商采购公告</w:t>
      </w:r>
      <w:r/>
    </w:p>
    <w:p>
      <w:pPr>
        <w:pStyle w:val="1061"/>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参加磋商供应商须知</w:t>
      </w:r>
      <w:r/>
    </w:p>
    <w:p>
      <w:pPr>
        <w:pStyle w:val="1061"/>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合同条款及格式</w:t>
      </w:r>
      <w:r/>
    </w:p>
    <w:p>
      <w:pPr>
        <w:pStyle w:val="1061"/>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项目需求</w:t>
      </w:r>
      <w:r/>
    </w:p>
    <w:p>
      <w:pPr>
        <w:pStyle w:val="1061"/>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评审方法和评审标准</w:t>
      </w:r>
      <w:r/>
    </w:p>
    <w:p>
      <w:pPr>
        <w:pStyle w:val="1061"/>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响应文件的组成和格式</w:t>
      </w:r>
      <w:r/>
    </w:p>
    <w:p>
      <w:pPr>
        <w:pStyle w:val="1044"/>
        <w:keepNext w:val="0"/>
        <w:rPr>
          <w:rFonts w:hint="eastAsia" w:ascii="宋体" w:hAnsi="宋体" w:eastAsia="宋体" w:cs="宋体"/>
          <w:color w:val="auto"/>
          <w:sz w:val="32"/>
          <w:szCs w:val="32"/>
          <w:highlight w:val="none"/>
        </w:rPr>
        <w:sectPr>
          <w:footerReference w:type="default" r:id="rId9"/>
          <w:footnotePr/>
          <w:endnotePr/>
          <w:type w:val="nextPage"/>
          <w:pgSz w:w="11906" w:h="16838" w:orient="portrait"/>
          <w:pgMar w:top="1440" w:right="1463" w:bottom="1440" w:left="1463" w:header="851" w:footer="992" w:gutter="0"/>
          <w:pgNumType w:start="1"/>
          <w:cols w:num="1" w:sep="0" w:space="720" w:equalWidth="1"/>
          <w:docGrid w:linePitch="360"/>
        </w:sectPr>
      </w:pPr>
      <w:r/>
      <w:bookmarkStart w:id="3" w:name="_Toc32147"/>
      <w:r/>
      <w:bookmarkStart w:id="4" w:name="_Toc24405"/>
      <w:r/>
      <w:r/>
    </w:p>
    <w:p>
      <w:pPr>
        <w:pStyle w:val="1044"/>
        <w:jc w:val="center"/>
        <w:keepNext w:val="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第一章 竞争性磋商</w:t>
      </w:r>
      <w:bookmarkStart w:id="5" w:name="二．报价方须知"/>
      <w:r/>
      <w:bookmarkEnd w:id="5"/>
      <w:r>
        <w:rPr>
          <w:rFonts w:hint="eastAsia" w:ascii="宋体" w:hAnsi="宋体" w:eastAsia="宋体" w:cs="宋体"/>
          <w:b/>
          <w:bCs/>
          <w:color w:val="auto"/>
          <w:sz w:val="32"/>
          <w:szCs w:val="32"/>
          <w:highlight w:val="none"/>
        </w:rPr>
        <w:t xml:space="preserve">采购公告</w:t>
      </w:r>
      <w:bookmarkEnd w:id="3"/>
      <w:r/>
      <w:bookmarkEnd w:id="4"/>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bookmarkStart w:id="6" w:name="_Toc35393629"/>
      <w:r/>
      <w:bookmarkStart w:id="7" w:name="_Toc35393798"/>
      <w:r/>
      <w:bookmarkStart w:id="8" w:name="_Toc28359089"/>
      <w:r/>
      <w:bookmarkStart w:id="9" w:name="_Toc28359012"/>
      <w:r>
        <w:rPr>
          <w:rFonts w:hint="eastAsia" w:ascii="宋体" w:hAnsi="宋体" w:eastAsia="宋体" w:cs="宋体"/>
          <w:b/>
          <w:bCs/>
          <w:color w:val="auto"/>
          <w:sz w:val="24"/>
          <w:szCs w:val="24"/>
          <w:highlight w:val="none"/>
        </w:rPr>
        <w:t xml:space="preserve">项目概况</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泰州市公安局反诈骗和新型犯罪中心建设一体化专用操控调度工程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的潜在供应商可在</w:t>
      </w:r>
      <w:r>
        <w:rPr>
          <w:rFonts w:hint="eastAsia" w:ascii="宋体" w:hAnsi="宋体" w:eastAsia="宋体" w:cs="宋体"/>
          <w:color w:val="auto"/>
          <w:sz w:val="24"/>
          <w:szCs w:val="24"/>
          <w:highlight w:val="none"/>
          <w:u w:val="single"/>
        </w:rPr>
        <w:t xml:space="preserve">江苏省政府采购“苏采云”系统</w:t>
      </w:r>
      <w:r>
        <w:rPr>
          <w:rFonts w:hint="eastAsia" w:ascii="宋体" w:hAnsi="宋体" w:eastAsia="宋体" w:cs="宋体"/>
          <w:color w:val="auto"/>
          <w:sz w:val="24"/>
          <w:szCs w:val="24"/>
          <w:highlight w:val="none"/>
        </w:rPr>
        <w:t xml:space="preserve">自行免费下载</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rPr>
        <w:t xml:space="preserve">2026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7</w:t>
      </w:r>
      <w:r>
        <w:rPr>
          <w:rFonts w:hint="eastAsia" w:ascii="宋体" w:hAnsi="宋体" w:eastAsia="宋体" w:cs="宋体"/>
          <w:bCs/>
          <w:color w:val="auto"/>
          <w:sz w:val="24"/>
          <w:szCs w:val="24"/>
          <w:highlight w:val="none"/>
          <w:u w:val="single"/>
        </w:rPr>
        <w:t xml:space="preserve">日</w:t>
      </w:r>
      <w:r>
        <w:rPr>
          <w:rFonts w:hint="eastAsia" w:ascii="宋体" w:hAnsi="宋体" w:eastAsia="宋体" w:cs="宋体"/>
          <w:bCs/>
          <w:color w:val="auto"/>
          <w:sz w:val="24"/>
          <w:szCs w:val="24"/>
          <w:highlight w:val="none"/>
          <w:u w:val="single"/>
          <w:lang w:val="en-US" w:eastAsia="zh-CN"/>
        </w:rPr>
        <w:t xml:space="preserve">14</w:t>
      </w:r>
      <w:r>
        <w:rPr>
          <w:rFonts w:hint="eastAsia" w:ascii="宋体" w:hAnsi="宋体" w:eastAsia="宋体" w:cs="宋体"/>
          <w:bCs/>
          <w:color w:val="auto"/>
          <w:sz w:val="24"/>
          <w:szCs w:val="24"/>
          <w:highlight w:val="none"/>
          <w:u w:val="single"/>
        </w:rPr>
        <w:t xml:space="preserve">点</w:t>
      </w:r>
      <w:r>
        <w:rPr>
          <w:rFonts w:hint="eastAsia" w:ascii="宋体" w:hAnsi="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lang w:val="en-US" w:eastAsia="zh-CN"/>
        </w:rPr>
        <w:t xml:space="preserve">0</w:t>
      </w:r>
      <w:r>
        <w:rPr>
          <w:rFonts w:hint="eastAsia" w:ascii="宋体" w:hAnsi="宋体" w:eastAsia="宋体" w:cs="宋体"/>
          <w:bCs/>
          <w:color w:val="auto"/>
          <w:sz w:val="24"/>
          <w:szCs w:val="24"/>
          <w:highlight w:val="none"/>
          <w:u w:val="single"/>
        </w:rPr>
        <w:t xml:space="preserve">分</w:t>
      </w:r>
      <w:r>
        <w:rPr>
          <w:rFonts w:hint="eastAsia" w:ascii="宋体" w:hAnsi="宋体" w:eastAsia="宋体" w:cs="宋体"/>
          <w:bCs/>
          <w:color w:val="auto"/>
          <w:sz w:val="24"/>
          <w:szCs w:val="24"/>
          <w:highlight w:val="none"/>
        </w:rPr>
        <w:t xml:space="preserve">（北京时间）前提交响应文件</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JSZC-321200-NJGJ-C2026-0019</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泰州市公安局反诈骗和新型犯罪中心建设一体化专用操控调度工程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111.9</w:t>
      </w:r>
      <w:r>
        <w:rPr>
          <w:rFonts w:hint="eastAsia" w:ascii="宋体" w:hAnsi="宋体" w:eastAsia="宋体" w:cs="宋体"/>
          <w:color w:val="auto"/>
          <w:sz w:val="24"/>
          <w:szCs w:val="24"/>
          <w:highlight w:val="none"/>
        </w:rPr>
        <w:t xml:space="preserve">万元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111.88736</w:t>
      </w:r>
      <w:r>
        <w:rPr>
          <w:rFonts w:hint="eastAsia" w:ascii="宋体" w:hAnsi="宋体" w:eastAsia="宋体" w:cs="宋体"/>
          <w:color w:val="auto"/>
          <w:sz w:val="24"/>
          <w:szCs w:val="24"/>
          <w:highlight w:val="none"/>
        </w:rPr>
        <w:t xml:space="preserve">万元，报价不得超过最高限价金额，否则按无效响应处理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需求：为全面提升公安机关侦查破案能力，更好地打击新型犯罪，泰州市公安局拟建设反诈骗和新型犯罪侦查中心，中心通过整合信息和数据资源，把分散在各部门的力量融合起来，形成快速反应、专业研判、协同作战的中枢系统。具体要求详见竞争性磋商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合同履行期限：合同签署后，</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历天</w:t>
      </w:r>
      <w:r>
        <w:rPr>
          <w:rFonts w:hint="eastAsia" w:ascii="宋体" w:hAnsi="宋体" w:eastAsia="宋体" w:cs="宋体"/>
          <w:color w:val="auto"/>
          <w:sz w:val="24"/>
          <w:szCs w:val="24"/>
          <w:highlight w:val="none"/>
        </w:rPr>
        <w:t xml:space="preserve">内完成供货和安装。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本项目（是/否）接受联合体：否。</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10" w:name="_Toc35393799"/>
      <w:r/>
      <w:bookmarkStart w:id="11" w:name="_Toc35393630"/>
      <w:r/>
      <w:bookmarkStart w:id="12" w:name="_Toc28359090"/>
      <w:r/>
      <w:bookmarkStart w:id="13" w:name="_Toc28359013"/>
      <w:r>
        <w:rPr>
          <w:rFonts w:hint="eastAsia" w:ascii="宋体" w:hAnsi="宋体" w:eastAsia="宋体" w:cs="宋体"/>
          <w:b/>
          <w:color w:val="auto"/>
          <w:sz w:val="24"/>
          <w:szCs w:val="24"/>
          <w:highlight w:val="none"/>
        </w:rPr>
        <w:t xml:space="preserve">二、申请人的资格要求</w:t>
      </w:r>
      <w:bookmarkEnd w:id="10"/>
      <w:r/>
      <w:bookmarkEnd w:id="11"/>
      <w:r/>
      <w:bookmarkEnd w:id="12"/>
      <w:r/>
      <w:bookmarkEnd w:id="13"/>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14" w:name="_Toc35393631"/>
      <w:r/>
      <w:bookmarkStart w:id="15" w:name="_Toc28359091"/>
      <w:r/>
      <w:bookmarkStart w:id="16" w:name="_Toc28359014"/>
      <w:r/>
      <w:bookmarkStart w:id="17" w:name="_Toc35393800"/>
      <w:r>
        <w:rPr>
          <w:rFonts w:hint="eastAsia" w:ascii="宋体" w:hAnsi="宋体" w:eastAsia="宋体" w:cs="宋体"/>
          <w:color w:val="auto"/>
          <w:sz w:val="24"/>
          <w:szCs w:val="24"/>
          <w:highlight w:val="none"/>
        </w:rPr>
        <w:t xml:space="preserve">（一）满足《中华人民共和国政府采购法》第二十二条规定：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本项目支持和适用支持中小微企业（财库〔2020〕46号）、（工信部联企业</w:t>
      </w:r>
      <w:r>
        <w:rPr>
          <w:rFonts w:hint="eastAsia" w:ascii="宋体" w:hAnsi="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）；支持监狱企业（财库〔2014〕68号）；促进残疾人就业（财库〔2017〕141号）等政策。本项目专门面向</w:t>
      </w:r>
      <w:r>
        <w:rPr>
          <w:rFonts w:hint="eastAsia" w:ascii="宋体" w:hAnsi="宋体" w:eastAsia="宋体" w:cs="宋体"/>
          <w:color w:val="auto"/>
          <w:sz w:val="24"/>
          <w:szCs w:val="24"/>
          <w:highlight w:val="none"/>
          <w:lang w:val="en-US" w:eastAsia="zh-CN"/>
        </w:rPr>
        <w:t xml:space="preserve">中小微企业采购，只接受中小微企业投标。中小企业划分标准见《关于印发中小企业划型标准规定的通知》（工信部联企业</w:t>
      </w:r>
      <w:r>
        <w:rPr>
          <w:rFonts w:hint="eastAsia" w:ascii="宋体" w:hAnsi="宋体" w:cs="宋体"/>
          <w:color w:val="auto"/>
          <w:sz w:val="24"/>
          <w:szCs w:val="24"/>
          <w:highlight w:val="none"/>
          <w:lang w:val="en-US" w:eastAsia="zh-CN"/>
        </w:rPr>
        <w:t xml:space="preserve">〔2011〕300号</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（四）其他要求：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1.供应商未被“信用中国”网站（www.creditchina.gov.cn）列入失信被执行人、重大税收违法失信主体、政府采购严重失信行为记录名单；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除单一来源采购项目外，为采购项目提供整体设计、规范编制或者项目管理、监理、检测等服务的供应商，不得在该采购项目的其他采购活动；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供应商单位负责人为同一人或者存在直接控股、管理关系的不同供应商，不得参加同一合同项下的采购活动。</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w:t>
      </w:r>
      <w:bookmarkEnd w:id="14"/>
      <w:r/>
      <w:bookmarkEnd w:id="15"/>
      <w:r/>
      <w:bookmarkEnd w:id="16"/>
      <w:r/>
      <w:bookmarkEnd w:id="17"/>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bookmarkStart w:id="18" w:name="_Toc28359015"/>
      <w:r/>
      <w:bookmarkStart w:id="19" w:name="_Toc35393801"/>
      <w:r/>
      <w:bookmarkStart w:id="20" w:name="_Toc28359092"/>
      <w:r/>
      <w:bookmarkStart w:id="21" w:name="_Toc35393632"/>
      <w:r>
        <w:rPr>
          <w:rFonts w:hint="eastAsia" w:ascii="宋体" w:hAnsi="宋体" w:eastAsia="宋体" w:cs="宋体"/>
          <w:bCs/>
          <w:color w:val="auto"/>
          <w:sz w:val="24"/>
          <w:szCs w:val="24"/>
          <w:highlight w:val="none"/>
          <w:lang w:val="en-US" w:eastAsia="zh-CN"/>
        </w:rPr>
        <w:t xml:space="preserve">时间：自磋商文件公告发布之日起5个工作日</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地点：江苏政府采购“苏采云”系统</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方式：江苏政府采购“苏采云”系统自行免费下载</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售价：0.00元</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四、响应文件提交</w:t>
      </w:r>
      <w:bookmarkEnd w:id="18"/>
      <w:r/>
      <w:bookmarkEnd w:id="19"/>
      <w:r/>
      <w:bookmarkEnd w:id="20"/>
      <w:r/>
      <w:bookmarkEnd w:id="21"/>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bookmarkStart w:id="22" w:name="_Toc35393633"/>
      <w:r/>
      <w:bookmarkStart w:id="23" w:name="_Toc28359016"/>
      <w:r/>
      <w:bookmarkStart w:id="24" w:name="_Toc35393802"/>
      <w:r/>
      <w:bookmarkStart w:id="25" w:name="_Toc28359093"/>
      <w:r>
        <w:rPr>
          <w:rFonts w:hint="eastAsia" w:ascii="宋体" w:hAnsi="宋体" w:eastAsia="宋体" w:cs="宋体"/>
          <w:bCs/>
          <w:color w:val="auto"/>
          <w:sz w:val="24"/>
          <w:szCs w:val="24"/>
          <w:highlight w:val="none"/>
          <w:lang w:val="en-US" w:eastAsia="zh-CN"/>
        </w:rPr>
        <w:t xml:space="preserve">截止时间：2026年</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日14点30分（北京时间）</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地点：江苏政府采购“苏采云”系统</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五、开启</w:t>
      </w:r>
      <w:bookmarkEnd w:id="22"/>
      <w:r/>
      <w:bookmarkEnd w:id="23"/>
      <w:r/>
      <w:bookmarkEnd w:id="24"/>
      <w:r/>
      <w:bookmarkEnd w:id="25"/>
      <w:r>
        <w:rPr>
          <w:rFonts w:hint="eastAsia" w:ascii="宋体" w:hAnsi="宋体" w:eastAsia="宋体" w:cs="宋体"/>
          <w:b/>
          <w:color w:val="auto"/>
          <w:sz w:val="24"/>
          <w:szCs w:val="24"/>
          <w:highlight w:val="none"/>
        </w:rPr>
        <w:t xml:space="preserve">（开标时间）</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bookmarkStart w:id="26" w:name="_Toc28359017"/>
      <w:r/>
      <w:bookmarkStart w:id="27" w:name="_Toc35393803"/>
      <w:r/>
      <w:bookmarkStart w:id="28" w:name="_Toc28359094"/>
      <w:r/>
      <w:bookmarkStart w:id="29" w:name="_Toc35393634"/>
      <w:r>
        <w:rPr>
          <w:rFonts w:hint="eastAsia" w:ascii="宋体" w:hAnsi="宋体" w:eastAsia="宋体" w:cs="宋体"/>
          <w:bCs/>
          <w:color w:val="auto"/>
          <w:sz w:val="24"/>
          <w:szCs w:val="24"/>
          <w:highlight w:val="none"/>
          <w:lang w:val="en-US" w:eastAsia="zh-CN"/>
        </w:rPr>
        <w:t xml:space="preserve">时间：2026年</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月7</w:t>
      </w:r>
      <w:r>
        <w:rPr>
          <w:rFonts w:hint="eastAsia" w:ascii="宋体" w:hAnsi="宋体" w:eastAsia="宋体" w:cs="宋体"/>
          <w:bCs/>
          <w:color w:val="auto"/>
          <w:sz w:val="24"/>
          <w:szCs w:val="24"/>
          <w:highlight w:val="none"/>
          <w:lang w:val="en-US" w:eastAsia="zh-CN"/>
        </w:rPr>
        <w:t xml:space="preserve">日14点30分（北京时间）</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地点：江苏政府采购“苏采云”系统不见面开标大厅</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六、公告期限</w:t>
      </w:r>
      <w:bookmarkEnd w:id="26"/>
      <w:r/>
      <w:bookmarkEnd w:id="27"/>
      <w:r/>
      <w:bookmarkEnd w:id="28"/>
      <w:r/>
      <w:bookmarkEnd w:id="29"/>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30" w:name="_Toc35393635"/>
      <w:r/>
      <w:bookmarkStart w:id="31" w:name="_Toc35393804"/>
      <w:r>
        <w:rPr>
          <w:rFonts w:hint="eastAsia" w:ascii="宋体" w:hAnsi="宋体" w:eastAsia="宋体" w:cs="宋体"/>
          <w:b/>
          <w:color w:val="auto"/>
          <w:sz w:val="24"/>
          <w:szCs w:val="24"/>
          <w:highlight w:val="none"/>
        </w:rPr>
        <w:t xml:space="preserve">七、其他补充事宜</w:t>
      </w:r>
      <w:bookmarkEnd w:id="30"/>
      <w:r/>
      <w:bookmarkEnd w:id="31"/>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bookmarkStart w:id="32" w:name="_Toc35393805"/>
      <w:r/>
      <w:bookmarkStart w:id="33" w:name="_Toc35393636"/>
      <w:r/>
      <w:bookmarkStart w:id="34" w:name="_Toc28359018"/>
      <w:r/>
      <w:bookmarkStart w:id="35" w:name="_Toc28359095"/>
      <w:r>
        <w:rPr>
          <w:rFonts w:hint="eastAsia" w:ascii="宋体" w:hAnsi="宋体" w:eastAsia="宋体" w:cs="宋体"/>
          <w:color w:val="000000"/>
          <w:sz w:val="24"/>
          <w:szCs w:val="24"/>
        </w:rPr>
        <w:t xml:space="preserve">1.本次采购采用“江苏省政府采购管理交易系统</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苏采云</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”，招标、投标、开标、评标、定标实现全程电子化。供应商应当按照</w:t>
      </w:r>
      <w:r>
        <w:rPr>
          <w:rFonts w:hint="eastAsia" w:ascii="宋体" w:hAnsi="宋体" w:cs="宋体"/>
          <w:color w:val="000000"/>
          <w:sz w:val="24"/>
          <w:szCs w:val="24"/>
          <w:lang w:eastAsia="zh-CN"/>
        </w:rPr>
        <w:t xml:space="preserve">《苏采云系统操作手册供应商》（以下简称“操作手册”）</w:t>
      </w:r>
      <w:r>
        <w:rPr>
          <w:rFonts w:hint="eastAsia" w:ascii="宋体" w:hAnsi="宋体" w:eastAsia="宋体" w:cs="宋体"/>
          <w:color w:val="000000"/>
          <w:sz w:val="24"/>
          <w:szCs w:val="24"/>
        </w:rPr>
        <w:t xml:space="preserve">参加投标活动，如供应商未按要求操作，由此所产生的风险由供应商自行承担。</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2.供应商应按照《操作手册》进行注册入库、办理CA及电子签章，并按《操作手册》要求进行网上投标参与、下载采购文件、标书制作、上传</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、开评标。技术服务联系电话：0523-86897512，0523-87633965。</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（1）登录 http://jszfcg.jsczt.cn/，点击“苏采云”进入系统。</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（2）“CA数字证书”的获取：供应商需办理CA锁（原国信CA</w:t>
      </w:r>
      <w:r>
        <w:rPr>
          <w:rFonts w:hint="eastAsia" w:ascii="宋体" w:hAnsi="宋体" w:cs="宋体"/>
          <w:color w:val="000000"/>
          <w:sz w:val="24"/>
          <w:szCs w:val="24"/>
          <w:lang w:eastAsia="zh-CN"/>
        </w:rPr>
        <w:t xml:space="preserve">需</w:t>
      </w:r>
      <w:r>
        <w:rPr>
          <w:rFonts w:hint="eastAsia" w:ascii="宋体" w:hAnsi="宋体" w:eastAsia="宋体" w:cs="宋体"/>
          <w:color w:val="000000"/>
          <w:sz w:val="24"/>
          <w:szCs w:val="24"/>
        </w:rPr>
        <w:t xml:space="preserve">更换新CA</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详见</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"http://jsxcmm.com/help/gys.html）。" </w:instrText>
      </w:r>
      <w:r>
        <w:rPr>
          <w:rFonts w:hint="eastAsia" w:ascii="宋体" w:hAnsi="宋体" w:eastAsia="宋体" w:cs="宋体"/>
          <w:sz w:val="24"/>
          <w:szCs w:val="24"/>
        </w:rPr>
        <w:fldChar w:fldCharType="separate"/>
      </w:r>
      <w:r>
        <w:rPr>
          <w:rStyle w:val="857"/>
          <w:rFonts w:hint="eastAsia" w:ascii="宋体" w:hAnsi="宋体" w:eastAsia="宋体" w:cs="宋体"/>
          <w:color w:val="000000"/>
          <w:sz w:val="24"/>
          <w:szCs w:val="24"/>
        </w:rPr>
        <w:t xml:space="preserve">http://jsxcmm.com/help/gys.html）。</w:t>
      </w:r>
      <w:r>
        <w:rPr>
          <w:rStyle w:val="857"/>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投标客户端工具及供应商操作手册可访问江苏政府采购网，“资料下载”进行下载《江苏省政府采购管理交易系统（苏采云）供应商操作手册》。</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次采购采用不见面开标模式，竞争性磋商项目将与供应商就磋商文件进行线上磋商，请供应商按照操作手册进入不见面开标大厅，因供应商自身设备故障或自身原因导致无法完成投标的，由供应商自行承担后果。</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有关本次采购的事项若存在变动或修改，敬请及时关注“江苏政府采购网”发布的更正公告。因供应商未尽注意义务，未及时全面地关注更正公告导致其递交的响应材料不符合采购文件要求而造成的损失及风险由供应商自行承担。</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5.在评标结束前，各供应商授权代表应保持手机畅通，以便及时澄清答疑。</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6.如在开标时间发生系统故障等不可预见情况，导致开评标活动无法正常进行的，将延迟开评标时间，具体开评标时间另行通知。</w:t>
      </w:r>
      <w:r/>
    </w:p>
    <w:p>
      <w:pPr>
        <w:ind w:firstLine="482"/>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注：各供应商请关注开标大厅交流区，在开标结束后，请勿离开开标大厅。采购人或采购代理机构通知最后报价填报后，</w:t>
      </w:r>
      <w:r>
        <w:rPr>
          <w:rFonts w:hint="eastAsia" w:ascii="宋体" w:hAnsi="宋体" w:cs="宋体"/>
          <w:b/>
          <w:color w:val="000000"/>
          <w:sz w:val="24"/>
          <w:szCs w:val="24"/>
          <w:lang w:eastAsia="zh-CN"/>
        </w:rPr>
        <w:t xml:space="preserve">所有</w:t>
      </w:r>
      <w:r>
        <w:rPr>
          <w:rFonts w:hint="eastAsia" w:ascii="宋体" w:hAnsi="宋体" w:eastAsia="宋体" w:cs="宋体"/>
          <w:b/>
          <w:color w:val="000000"/>
          <w:sz w:val="24"/>
          <w:szCs w:val="24"/>
        </w:rPr>
        <w:t xml:space="preserve">响应供应商须在</w:t>
      </w:r>
      <w:r>
        <w:rPr>
          <w:rFonts w:hint="eastAsia" w:ascii="宋体" w:hAnsi="宋体" w:eastAsia="宋体" w:cs="宋体"/>
          <w:b/>
          <w:color w:val="000000"/>
          <w:sz w:val="24"/>
          <w:szCs w:val="24"/>
          <w:lang w:val="en-US" w:eastAsia="zh-CN"/>
        </w:rPr>
        <w:t xml:space="preserve">规定的时间内</w:t>
      </w:r>
      <w:r>
        <w:rPr>
          <w:rFonts w:hint="eastAsia" w:ascii="宋体" w:hAnsi="宋体" w:eastAsia="宋体" w:cs="宋体"/>
          <w:b/>
          <w:color w:val="000000"/>
          <w:sz w:val="24"/>
          <w:szCs w:val="24"/>
        </w:rPr>
        <w:t xml:space="preserve">填写并提交最后报价，未在规定时间内提交最后报价的，视作无效响应处理。</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7.如认为上述公告中，有违反公平竞争审查标准的内容</w:t>
      </w:r>
      <w:r>
        <w:rPr>
          <w:rFonts w:hint="eastAsia" w:ascii="宋体" w:hAnsi="宋体" w:cs="宋体"/>
          <w:color w:val="000000"/>
          <w:sz w:val="24"/>
          <w:szCs w:val="24"/>
          <w:lang w:val="en-US" w:eastAsia="zh-CN"/>
        </w:rPr>
        <w:t xml:space="preserve">，可</w:t>
      </w:r>
      <w:r>
        <w:rPr>
          <w:rFonts w:hint="eastAsia" w:ascii="宋体" w:hAnsi="宋体" w:eastAsia="宋体" w:cs="宋体"/>
          <w:color w:val="000000"/>
          <w:sz w:val="24"/>
          <w:szCs w:val="24"/>
          <w:lang w:val="en-US" w:eastAsia="zh-CN"/>
        </w:rPr>
        <w:t xml:space="preserve">联系泰州市公安局或南京国景工程项目管理有限公司，联系人</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王女士，联系方式</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18252600401。</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八、凡对本次采购提出询问，请按以下方式联系</w:t>
      </w:r>
      <w:bookmarkEnd w:id="32"/>
      <w:r/>
      <w:bookmarkEnd w:id="33"/>
      <w:r/>
      <w:bookmarkEnd w:id="34"/>
      <w:r/>
      <w:bookmarkEnd w:id="35"/>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1.采购单位：泰州市公安局</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名    称：泰州市公安局</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地    址：泰州市凤凰东路69号</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联系方式：</w:t>
      </w:r>
      <w:r>
        <w:rPr>
          <w:rFonts w:hint="eastAsia" w:ascii="宋体" w:hAnsi="宋体" w:cs="宋体"/>
          <w:color w:val="000000"/>
          <w:sz w:val="24"/>
          <w:szCs w:val="24"/>
          <w:lang w:val="en-US" w:eastAsia="zh-CN"/>
        </w:rPr>
        <w:t xml:space="preserve">周先生、</w:t>
      </w:r>
      <w:r>
        <w:rPr>
          <w:rFonts w:hint="eastAsia" w:ascii="宋体" w:hAnsi="宋体" w:eastAsia="宋体" w:cs="宋体"/>
          <w:color w:val="000000"/>
          <w:sz w:val="24"/>
          <w:szCs w:val="24"/>
          <w:lang w:val="en-US" w:eastAsia="zh-CN"/>
        </w:rPr>
        <w:t xml:space="preserve">陆先生，联系方式：18252601808 </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2.代理机构：南京国景工程项目管理有限公司</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pPr>
      <w:r/>
      <w:bookmarkStart w:id="36" w:name="_Toc28359021"/>
      <w:r/>
      <w:bookmarkStart w:id="37" w:name="_Toc28359098"/>
      <w:r/>
      <w:bookmarkStart w:id="38" w:name="_Toc35393808"/>
      <w:r/>
      <w:bookmarkStart w:id="39" w:name="_Toc35393639"/>
      <w:r>
        <w:rPr>
          <w:rFonts w:hint="eastAsia" w:ascii="宋体" w:hAnsi="宋体" w:eastAsia="宋体" w:cs="宋体"/>
          <w:color w:val="000000"/>
          <w:sz w:val="24"/>
          <w:szCs w:val="24"/>
          <w:lang w:val="en-US" w:eastAsia="zh-CN"/>
        </w:rPr>
        <w:t xml:space="preserve">名    称：南京国景工程项目管理有限公司</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地　　址：泰州市海陵区中嘉装饰城北区24幢5楼</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北区西门第一个路口右拐金海洋瓷砖旁</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电梯上五楼</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联系方式：王女士，联系电话：18252600401</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3.项目联系方式</w:t>
      </w:r>
      <w:bookmarkEnd w:id="36"/>
      <w:r/>
      <w:bookmarkEnd w:id="37"/>
      <w:r/>
      <w:bookmarkEnd w:id="38"/>
      <w:r/>
      <w:bookmarkEnd w:id="39"/>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项目联系人：王女士</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电话：18252600401</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4"/>
        <w:jc w:val="center"/>
        <w:keepNext w:val="0"/>
        <w:rPr>
          <w:rFonts w:hint="eastAsia" w:ascii="宋体" w:hAnsi="宋体" w:eastAsia="宋体" w:cs="宋体"/>
          <w:color w:val="auto"/>
          <w:sz w:val="32"/>
          <w:szCs w:val="32"/>
          <w:highlight w:val="none"/>
        </w:rPr>
      </w:pPr>
      <w:r>
        <w:rPr>
          <w:rFonts w:hint="eastAsia" w:ascii="宋体" w:hAnsi="宋体" w:eastAsia="宋体" w:cs="宋体"/>
          <w:color w:val="auto"/>
          <w:highlight w:val="none"/>
        </w:rPr>
        <w:br w:type="page" w:clear="all"/>
      </w:r>
      <w:bookmarkStart w:id="40" w:name="_Toc13715"/>
      <w:r/>
      <w:bookmarkStart w:id="41" w:name="_Toc11632"/>
      <w:r>
        <w:rPr>
          <w:rFonts w:hint="eastAsia" w:ascii="宋体" w:hAnsi="宋体" w:eastAsia="宋体" w:cs="宋体"/>
          <w:b/>
          <w:bCs/>
          <w:color w:val="auto"/>
          <w:sz w:val="32"/>
          <w:szCs w:val="32"/>
          <w:highlight w:val="none"/>
        </w:rPr>
        <w:t xml:space="preserve">第二章 参加磋商供应商须知</w:t>
      </w:r>
      <w:bookmarkEnd w:id="40"/>
      <w:r/>
      <w:bookmarkEnd w:id="41"/>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（参加竞争性磋商的供应商以下简称“供应商”）</w:t>
      </w:r>
      <w:r/>
    </w:p>
    <w:p>
      <w:pPr>
        <w:ind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一、总则</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1.适用范围</w:t>
      </w:r>
      <w:r>
        <w:rPr>
          <w:rFonts w:hint="eastAsia" w:ascii="宋体" w:hAnsi="宋体" w:eastAsia="宋体" w:cs="宋体"/>
          <w:color w:val="auto"/>
          <w:sz w:val="24"/>
          <w:szCs w:val="24"/>
          <w:highlight w:val="none"/>
        </w:rPr>
        <w:tab/>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仅适用于</w:t>
      </w:r>
      <w:r>
        <w:rPr>
          <w:rFonts w:hint="eastAsia" w:ascii="宋体" w:hAnsi="宋体" w:eastAsia="宋体" w:cs="宋体"/>
          <w:color w:val="auto"/>
          <w:sz w:val="24"/>
          <w:szCs w:val="24"/>
          <w:highlight w:val="none"/>
          <w:lang w:eastAsia="zh-CN"/>
        </w:rPr>
        <w:t xml:space="preserve">泰州市公安局反诈骗和新型犯罪中心建设一体化专用操控调度工程</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2.项目采购方式</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本次采购采取竞争性磋商的方式。</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3.合格的</w:t>
      </w:r>
      <w:r>
        <w:rPr>
          <w:rFonts w:hint="eastAsia" w:ascii="宋体" w:hAnsi="宋体" w:eastAsia="宋体" w:cs="宋体"/>
          <w:color w:val="auto"/>
          <w:sz w:val="24"/>
          <w:szCs w:val="24"/>
          <w:highlight w:val="none"/>
          <w:lang w:eastAsia="zh-CN"/>
        </w:rPr>
        <w:t xml:space="preserve">供应商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3.1满足本</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“竞争性磋商采购公告”中申请人的资格要求的规定。</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3.2满足本</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实质性要求和条件的规定。</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4.参加磋商费用</w:t>
      </w:r>
      <w:r/>
    </w:p>
    <w:p>
      <w:pPr>
        <w:ind w:firstLine="480"/>
        <w:keepLines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4.1本项目招标代理费</w:t>
      </w:r>
      <w:r>
        <w:rPr>
          <w:rFonts w:hint="eastAsia" w:ascii="宋体" w:hAnsi="宋体" w:eastAsia="宋体" w:cs="宋体"/>
          <w:color w:val="000000"/>
          <w:sz w:val="24"/>
          <w:szCs w:val="24"/>
          <w:highlight w:val="none"/>
          <w:lang w:val="en-US" w:eastAsia="zh-CN"/>
        </w:rPr>
        <w:t xml:space="preserve">按照《江苏省政府采购代理服务收费指导意见》苏政采协〔2024〕20号文件收费标准的50%计取，</w:t>
      </w:r>
      <w:r>
        <w:rPr>
          <w:rFonts w:hint="eastAsia" w:ascii="宋体" w:hAnsi="宋体" w:eastAsia="宋体" w:cs="宋体"/>
          <w:color w:val="000000"/>
          <w:sz w:val="24"/>
          <w:szCs w:val="24"/>
          <w:highlight w:val="none"/>
        </w:rPr>
        <w:t xml:space="preserve">由采购人支付。</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4.2参加磋商供应商应自行承担所有与参加磋商有关的费用。不论最终的成交结果如何，</w:t>
      </w:r>
      <w:r>
        <w:rPr>
          <w:rFonts w:hint="eastAsia" w:ascii="宋体" w:hAnsi="宋体" w:eastAsia="宋体" w:cs="宋体"/>
          <w:color w:val="auto"/>
          <w:sz w:val="24"/>
          <w:szCs w:val="24"/>
          <w:highlight w:val="none"/>
          <w:lang w:val="en-US" w:eastAsia="zh-CN"/>
        </w:rPr>
        <w:t xml:space="preserve">采购人和</w:t>
      </w:r>
      <w:r>
        <w:rPr>
          <w:rFonts w:hint="eastAsia" w:ascii="宋体" w:hAnsi="宋体" w:eastAsia="宋体" w:cs="宋体"/>
          <w:color w:val="auto"/>
          <w:sz w:val="24"/>
          <w:szCs w:val="24"/>
          <w:highlight w:val="none"/>
        </w:rPr>
        <w:t xml:space="preserve">代理机构在任何情况下均无义务和责任承担这些费用。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的约束力</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供应商一旦领取了本</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并决定参加磋商，即被视为接受了本</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的规定和约束，并且视为自竞争性磋商公告期限届满之日起已经知道或应当知道自身权益是否受到了损害。</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bookmarkStart w:id="42" w:name="_Toc462564070"/>
      <w:r/>
      <w:bookmarkStart w:id="43" w:name="_Toc16938527"/>
      <w:r/>
      <w:bookmarkStart w:id="44" w:name="_Toc20823283"/>
      <w:r/>
      <w:bookmarkStart w:id="45" w:name="_Toc513029211"/>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的澄清</w:t>
      </w:r>
      <w:bookmarkEnd w:id="42"/>
      <w:r/>
      <w:bookmarkEnd w:id="43"/>
      <w:r/>
      <w:bookmarkEnd w:id="44"/>
      <w:r/>
      <w:bookmarkEnd w:id="45"/>
      <w:r>
        <w:rPr>
          <w:rFonts w:hint="eastAsia" w:ascii="宋体" w:hAnsi="宋体" w:eastAsia="宋体" w:cs="宋体"/>
          <w:color w:val="auto"/>
          <w:sz w:val="24"/>
          <w:szCs w:val="24"/>
          <w:highlight w:val="none"/>
        </w:rPr>
        <w:t xml:space="preserve">及修改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6.1任何要求对</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进行澄清的供应商，均应在法律法规规定的质疑时效内按竞争性磋商采购公告中的通讯地址，以书面形式通知代理机构，（以代理机构实际收到供应商相关文件为准）。提交首次响应文件截止之日前，代理机构可以对已发出的</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进行必要的澄清或者修改，澄清或者修改的内容作为</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的组成部分。澄清或者修改的内容可能影响响应文件编制的，代理机构将在提交首次响应文件截止时间至少5日前，以书面形式通知所有获取</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的供应商。不足5日的，代理机构顺延提交首次响应文件截止时间。</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6.2代理机构不组织供应商进行现场考察或召开磋商前答疑会。</w:t>
      </w:r>
      <w:r/>
    </w:p>
    <w:p>
      <w:pPr>
        <w:ind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bookmarkStart w:id="46" w:name="_Toc61149553"/>
      <w:r/>
      <w:bookmarkStart w:id="47" w:name="_Toc513029213"/>
      <w:r/>
      <w:bookmarkStart w:id="48" w:name="_Toc462564072"/>
      <w:r/>
      <w:bookmarkStart w:id="49" w:name="_Toc14577351"/>
      <w:r>
        <w:rPr>
          <w:rFonts w:hint="eastAsia" w:ascii="宋体" w:hAnsi="宋体" w:eastAsia="宋体" w:cs="宋体"/>
          <w:b/>
          <w:bCs/>
          <w:color w:val="auto"/>
          <w:sz w:val="24"/>
          <w:szCs w:val="24"/>
          <w:highlight w:val="none"/>
        </w:rPr>
        <w:t xml:space="preserve">二、磋商响应文件的编制</w:t>
      </w:r>
      <w:bookmarkEnd w:id="46"/>
      <w:r/>
      <w:bookmarkEnd w:id="47"/>
      <w:r/>
      <w:bookmarkEnd w:id="48"/>
      <w:r/>
      <w:bookmarkEnd w:id="49"/>
      <w:r>
        <w:rPr>
          <w:rFonts w:hint="eastAsia" w:ascii="宋体" w:hAnsi="宋体" w:eastAsia="宋体" w:cs="宋体"/>
          <w:b/>
          <w:bCs/>
          <w:color w:val="auto"/>
          <w:sz w:val="24"/>
          <w:szCs w:val="24"/>
          <w:highlight w:val="none"/>
        </w:rPr>
        <w:t xml:space="preserve">及保证金收取</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50" w:name="_Hlt26954834"/>
      <w:r/>
      <w:bookmarkEnd w:id="50"/>
      <w:r/>
      <w:bookmarkStart w:id="51" w:name="_Toc61149555"/>
      <w:r/>
      <w:bookmarkStart w:id="52" w:name="_Toc462564074"/>
      <w:r/>
      <w:bookmarkStart w:id="53" w:name="_Toc513029215"/>
      <w:r/>
      <w:bookmarkStart w:id="54" w:name="_Toc14577353"/>
      <w:r/>
      <w:bookmarkStart w:id="55" w:name="_Toc14577352"/>
      <w:r/>
      <w:bookmarkStart w:id="56" w:name="_Toc61149554"/>
      <w:r/>
      <w:bookmarkStart w:id="57" w:name="_Toc462564073"/>
      <w:r/>
      <w:bookmarkStart w:id="58" w:name="_Toc513029214"/>
      <w:r>
        <w:rPr>
          <w:rFonts w:hint="eastAsia" w:ascii="宋体" w:hAnsi="宋体" w:eastAsia="宋体" w:cs="宋体"/>
          <w:color w:val="auto"/>
          <w:sz w:val="24"/>
          <w:szCs w:val="24"/>
          <w:highlight w:val="none"/>
        </w:rPr>
        <w:t xml:space="preserve">1.响应文件</w:t>
      </w:r>
      <w:bookmarkEnd w:id="51"/>
      <w:r/>
      <w:bookmarkEnd w:id="52"/>
      <w:r/>
      <w:bookmarkEnd w:id="53"/>
      <w:r/>
      <w:bookmarkEnd w:id="54"/>
      <w:r>
        <w:rPr>
          <w:rFonts w:hint="eastAsia" w:ascii="宋体" w:hAnsi="宋体" w:eastAsia="宋体" w:cs="宋体"/>
          <w:color w:val="auto"/>
          <w:sz w:val="24"/>
          <w:szCs w:val="24"/>
          <w:highlight w:val="none"/>
        </w:rPr>
        <w:t xml:space="preserve">编制要求</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1.1供应商提交的响应文件以及其与代理机构及采购人就有关磋商的所有来往函电均应使用简体中文。</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中既有中文也有外文的，以中文意义为准。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1.2除技术性能另有规定外，响应文件所使用的度量衡单位，均须采用国家法定计量单位。</w:t>
      </w:r>
      <w:bookmarkEnd w:id="55"/>
      <w:r/>
      <w:bookmarkEnd w:id="56"/>
      <w:r/>
      <w:bookmarkEnd w:id="57"/>
      <w:r/>
      <w:bookmarkEnd w:id="58"/>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59" w:name="_Hlt26670357"/>
      <w:r/>
      <w:bookmarkEnd w:id="59"/>
      <w:r/>
      <w:bookmarkStart w:id="60" w:name="_Hlt26954836"/>
      <w:r/>
      <w:bookmarkEnd w:id="60"/>
      <w:r/>
      <w:bookmarkStart w:id="61" w:name="_Toc14577357"/>
      <w:r/>
      <w:bookmarkStart w:id="62" w:name="_Toc513029219"/>
      <w:r/>
      <w:bookmarkStart w:id="63" w:name="_Toc61149558"/>
      <w:r/>
      <w:bookmarkStart w:id="64" w:name="_Toc513029217"/>
      <w:r/>
      <w:bookmarkStart w:id="65" w:name="_Toc14577355"/>
      <w:r/>
      <w:bookmarkStart w:id="66" w:name="_Toc61149557"/>
      <w:r>
        <w:rPr>
          <w:rFonts w:hint="eastAsia" w:ascii="宋体" w:hAnsi="宋体" w:eastAsia="宋体" w:cs="宋体"/>
          <w:color w:val="auto"/>
          <w:sz w:val="24"/>
          <w:szCs w:val="24"/>
          <w:highlight w:val="none"/>
        </w:rPr>
        <w:t xml:space="preserve">1.3响应文件构成</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供应商应认真阅读和理解</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，并按</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的要求编制响应文件；响应文件应对</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作实质性响应，并保证所提供资料的真实性。</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编写的响应文件应包括下列部分：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加★项目若有缺失或无效，将导致该响应文件作无效响应文件评定，且不允许在磋商截止时间后补正。</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资格证明文件</w:t>
      </w:r>
      <w:r/>
    </w:p>
    <w:p>
      <w:pPr>
        <w:ind w:firstLine="482"/>
        <w:keepLines w:val="0"/>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★（1）具有独立承担民事责任的能力（提供法人或者其他组织的营业执照，自然人的身份证明）；</w:t>
      </w:r>
      <w:r/>
    </w:p>
    <w:p>
      <w:pPr>
        <w:ind w:firstLine="482"/>
        <w:keepLines w:val="0"/>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★（2）具有良好的商业信誉和健全的财务会计制度（提供近</w:t>
      </w:r>
      <w:r>
        <w:rPr>
          <w:rFonts w:hint="eastAsia" w:ascii="宋体" w:hAnsi="宋体" w:eastAsia="宋体" w:cs="宋体"/>
          <w:b w:val="0"/>
          <w:bCs w:val="0"/>
          <w:color w:val="000000"/>
          <w:sz w:val="24"/>
          <w:szCs w:val="24"/>
          <w:highlight w:val="none"/>
          <w:lang w:val="en-US" w:eastAsia="zh-CN"/>
        </w:rPr>
        <w:t xml:space="preserve">六</w:t>
      </w:r>
      <w:r>
        <w:rPr>
          <w:rFonts w:hint="eastAsia" w:ascii="宋体" w:hAnsi="宋体" w:eastAsia="宋体" w:cs="宋体"/>
          <w:b w:val="0"/>
          <w:bCs w:val="0"/>
          <w:color w:val="000000"/>
          <w:sz w:val="24"/>
          <w:szCs w:val="24"/>
          <w:highlight w:val="none"/>
          <w:lang w:val="zh-CN"/>
        </w:rPr>
        <w:t xml:space="preserve">个月中任意一个月份（不含</w:t>
      </w:r>
      <w:r>
        <w:rPr>
          <w:rFonts w:hint="eastAsia" w:ascii="宋体" w:hAnsi="宋体" w:eastAsia="宋体" w:cs="宋体"/>
          <w:b w:val="0"/>
          <w:bCs w:val="0"/>
          <w:color w:val="000000"/>
          <w:sz w:val="24"/>
          <w:szCs w:val="24"/>
          <w:highlight w:val="none"/>
          <w:lang w:val="en-US" w:eastAsia="zh-CN"/>
        </w:rPr>
        <w:t xml:space="preserve">磋商</w:t>
      </w:r>
      <w:r>
        <w:rPr>
          <w:rFonts w:hint="eastAsia" w:ascii="宋体" w:hAnsi="宋体" w:eastAsia="宋体" w:cs="宋体"/>
          <w:b w:val="0"/>
          <w:bCs w:val="0"/>
          <w:color w:val="000000"/>
          <w:sz w:val="24"/>
          <w:szCs w:val="24"/>
          <w:highlight w:val="none"/>
          <w:lang w:val="zh-CN"/>
        </w:rPr>
        <w:t xml:space="preserve">当月）的财务状况报告（含资产负债表和利润表）或会计师事务所出具的近两年中任意一个年度的财务审计报告）；</w:t>
      </w:r>
      <w:r/>
    </w:p>
    <w:p>
      <w:pPr>
        <w:ind w:firstLine="482"/>
        <w:keepLines w:val="0"/>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CN"/>
        </w:rPr>
        <w:t xml:space="preserve">）有依法缴纳税收和社会保障资金的良好记录（提供近</w:t>
      </w:r>
      <w:r>
        <w:rPr>
          <w:rFonts w:hint="eastAsia" w:ascii="宋体" w:hAnsi="宋体" w:eastAsia="宋体" w:cs="宋体"/>
          <w:b w:val="0"/>
          <w:bCs w:val="0"/>
          <w:color w:val="000000"/>
          <w:sz w:val="24"/>
          <w:szCs w:val="24"/>
          <w:highlight w:val="none"/>
          <w:lang w:val="en-US" w:eastAsia="zh-CN"/>
        </w:rPr>
        <w:t xml:space="preserve">六</w:t>
      </w:r>
      <w:r>
        <w:rPr>
          <w:rFonts w:hint="eastAsia" w:ascii="宋体" w:hAnsi="宋体" w:eastAsia="宋体" w:cs="宋体"/>
          <w:b w:val="0"/>
          <w:bCs w:val="0"/>
          <w:color w:val="000000"/>
          <w:sz w:val="24"/>
          <w:szCs w:val="24"/>
          <w:highlight w:val="none"/>
          <w:lang w:val="zh-CN"/>
        </w:rPr>
        <w:t xml:space="preserve">个月中任意一个月份（不含</w:t>
      </w:r>
      <w:r>
        <w:rPr>
          <w:rFonts w:hint="eastAsia" w:ascii="宋体" w:hAnsi="宋体" w:eastAsia="宋体" w:cs="宋体"/>
          <w:b w:val="0"/>
          <w:bCs w:val="0"/>
          <w:color w:val="000000"/>
          <w:sz w:val="24"/>
          <w:szCs w:val="24"/>
          <w:highlight w:val="none"/>
          <w:lang w:val="en-US" w:eastAsia="zh-CN"/>
        </w:rPr>
        <w:t xml:space="preserve">磋商</w:t>
      </w:r>
      <w:r>
        <w:rPr>
          <w:rFonts w:hint="eastAsia" w:ascii="宋体" w:hAnsi="宋体" w:eastAsia="宋体" w:cs="宋体"/>
          <w:b w:val="0"/>
          <w:bCs w:val="0"/>
          <w:color w:val="000000"/>
          <w:sz w:val="24"/>
          <w:szCs w:val="24"/>
          <w:highlight w:val="none"/>
          <w:lang w:val="zh-CN"/>
        </w:rPr>
        <w:t xml:space="preserve">当月）的依法缴纳税收和社会保障资金的相关材料）；</w:t>
      </w:r>
      <w:r/>
    </w:p>
    <w:p>
      <w:pPr>
        <w:ind w:firstLine="482"/>
        <w:keepLines w:val="0"/>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）参加政府采购活动前三年内，在经营活动中没有重大违法记录（详见响应文件格式）；</w:t>
      </w:r>
      <w:r/>
    </w:p>
    <w:p>
      <w:pPr>
        <w:ind w:firstLine="482"/>
        <w:keepLines w:val="0"/>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zh-CN"/>
        </w:rPr>
        <w:t xml:space="preserve">）具有履行合同所必需的设备和专业技术能力（详见响应文件格式）；</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zh-CN"/>
        </w:rPr>
        <w:t xml:space="preserve">）拒绝下述供应商参加本次采购活动</w:t>
      </w:r>
      <w:r>
        <w:rPr>
          <w:rFonts w:hint="eastAsia" w:ascii="宋体" w:hAnsi="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zh-CN"/>
        </w:rPr>
        <w:t xml:space="preserve">（符合</w:t>
      </w:r>
      <w:r>
        <w:rPr>
          <w:rFonts w:hint="eastAsia" w:ascii="宋体" w:hAnsi="宋体" w:cs="宋体"/>
          <w:b w:val="0"/>
          <w:bCs w:val="0"/>
          <w:color w:val="000000"/>
          <w:sz w:val="24"/>
          <w:szCs w:val="24"/>
          <w:highlight w:val="none"/>
          <w:lang w:val="zh-CN"/>
        </w:rPr>
        <w:t xml:space="preserve">要求并</w:t>
      </w:r>
      <w:r>
        <w:rPr>
          <w:rFonts w:hint="eastAsia" w:ascii="宋体" w:hAnsi="宋体" w:eastAsia="宋体" w:cs="宋体"/>
          <w:b w:val="0"/>
          <w:bCs w:val="0"/>
          <w:color w:val="000000"/>
          <w:sz w:val="24"/>
          <w:szCs w:val="24"/>
          <w:highlight w:val="none"/>
          <w:lang w:val="zh-CN"/>
        </w:rPr>
        <w:t xml:space="preserve">提供承诺书，详见响应文件格式）</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1）被“信用中国”网站</w:t>
      </w:r>
      <w:r>
        <w:rPr>
          <w:rFonts w:hint="eastAsia" w:ascii="宋体" w:hAnsi="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zh-CN"/>
        </w:rPr>
        <w:t xml:space="preserve">www.creditchina.gov.cn</w:t>
      </w:r>
      <w:r>
        <w:rPr>
          <w:rFonts w:hint="eastAsia" w:ascii="宋体" w:hAnsi="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zh-CN"/>
        </w:rPr>
        <w:t xml:space="preserve">列入失信被执行人，重大税收违法失信主体、政府采购严重违法失信行为记录名单的；</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2）供应商单位负责人为同一人或者存在直接控股、管理关系的不同供应商，不得参加同一合同项下的政府采购活动；</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3）为采购项目提供整体设计、规范编制或者项目管理、监理、检测等服务的供应商，不得再参加该采购项目的其他采购活动。</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中小企业声明函。</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如上述资格证明文件第（</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项遇有国家相关政策规定可不具备的，必须提供相关政策规定或相关单位出具的有效证明。</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1.3.2商务技术文件（按照本文件第六章统一提供的规范表式填写）</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（1）★磋商响应函；</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（2）★磋商报价表；</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（3）★法定代表人资格证明；</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（4）★授权委托书；</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zh-CN"/>
        </w:rPr>
        <w:t xml:space="preserve">）★技术偏离表；</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zh-CN"/>
        </w:rPr>
        <w:t xml:space="preserve">）★商务偏离表；</w:t>
      </w:r>
      <w:r/>
    </w:p>
    <w:p>
      <w:pPr>
        <w:ind w:firstLine="482"/>
        <w:jc w:val="left"/>
        <w:keepLines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报价</w:t>
      </w:r>
      <w:r>
        <w:rPr>
          <w:rFonts w:hint="eastAsia" w:ascii="宋体" w:hAnsi="宋体" w:cs="宋体"/>
          <w:b w:val="0"/>
          <w:bCs w:val="0"/>
          <w:color w:val="000000"/>
          <w:sz w:val="24"/>
          <w:szCs w:val="24"/>
          <w:highlight w:val="none"/>
          <w:lang w:val="en-US" w:eastAsia="zh-CN"/>
        </w:rPr>
        <w:t xml:space="preserve">明细表</w:t>
      </w:r>
      <w:r>
        <w:rPr>
          <w:rFonts w:hint="eastAsia" w:ascii="宋体" w:hAnsi="宋体" w:eastAsia="宋体" w:cs="宋体"/>
          <w:b w:val="0"/>
          <w:bCs w:val="0"/>
          <w:color w:val="000000"/>
          <w:sz w:val="24"/>
          <w:szCs w:val="24"/>
          <w:highlight w:val="none"/>
          <w:lang w:val="en-US" w:eastAsia="zh-CN"/>
        </w:rPr>
        <w:t xml:space="preserve">（格式见</w:t>
      </w:r>
      <w:r>
        <w:rPr>
          <w:rFonts w:hint="eastAsia" w:ascii="宋体" w:hAnsi="宋体" w:cs="宋体"/>
          <w:b w:val="0"/>
          <w:bCs w:val="0"/>
          <w:color w:val="000000"/>
          <w:sz w:val="24"/>
          <w:szCs w:val="24"/>
          <w:highlight w:val="none"/>
          <w:lang w:val="en-US" w:eastAsia="zh-CN"/>
        </w:rPr>
        <w:t xml:space="preserve">最高限价清单</w:t>
      </w:r>
      <w:r>
        <w:rPr>
          <w:rFonts w:hint="eastAsia" w:ascii="宋体" w:hAnsi="宋体" w:eastAsia="宋体" w:cs="宋体"/>
          <w:b w:val="0"/>
          <w:bCs w:val="0"/>
          <w:color w:val="000000"/>
          <w:sz w:val="24"/>
          <w:szCs w:val="24"/>
          <w:highlight w:val="none"/>
          <w:lang w:val="en-US" w:eastAsia="zh-CN"/>
        </w:rPr>
        <w:t xml:space="preserve">）；</w:t>
      </w:r>
      <w:r/>
    </w:p>
    <w:p>
      <w:pPr>
        <w:ind w:firstLine="482"/>
        <w:jc w:val="left"/>
        <w:keepLines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）根据项目需求和评审方法以及评审标准，供应商为使自身处于有利评审地位，应当提交的其他文件和证明资料；</w:t>
      </w:r>
      <w:bookmarkEnd w:id="61"/>
      <w:r/>
      <w:bookmarkEnd w:id="62"/>
      <w:r/>
      <w:bookmarkEnd w:id="63"/>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1.3.3如标书制作工具中的格式和内容与“</w:t>
      </w:r>
      <w:r>
        <w:rPr>
          <w:rFonts w:hint="eastAsia" w:ascii="宋体" w:hAnsi="宋体" w:eastAsia="宋体" w:cs="宋体"/>
          <w:color w:val="auto"/>
          <w:sz w:val="24"/>
          <w:szCs w:val="24"/>
          <w:highlight w:val="none"/>
          <w:lang w:val="en-US" w:eastAsia="zh-CN"/>
        </w:rPr>
        <w:t xml:space="preserve">江苏政府采购网</w:t>
      </w:r>
      <w:r>
        <w:rPr>
          <w:rFonts w:hint="eastAsia" w:ascii="宋体" w:hAnsi="宋体" w:eastAsia="宋体" w:cs="宋体"/>
          <w:color w:val="auto"/>
          <w:sz w:val="24"/>
          <w:szCs w:val="24"/>
          <w:highlight w:val="none"/>
        </w:rPr>
        <w:t xml:space="preserve">”发布的</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不一致，请以“</w:t>
      </w:r>
      <w:r>
        <w:rPr>
          <w:rFonts w:hint="eastAsia" w:ascii="宋体" w:hAnsi="宋体" w:eastAsia="宋体" w:cs="宋体"/>
          <w:color w:val="auto"/>
          <w:sz w:val="24"/>
          <w:szCs w:val="24"/>
          <w:highlight w:val="none"/>
          <w:lang w:val="en-US" w:eastAsia="zh-CN"/>
        </w:rPr>
        <w:t xml:space="preserve">江苏政府采购网</w:t>
      </w:r>
      <w:r>
        <w:rPr>
          <w:rFonts w:hint="eastAsia" w:ascii="宋体" w:hAnsi="宋体" w:eastAsia="宋体" w:cs="宋体"/>
          <w:color w:val="auto"/>
          <w:sz w:val="24"/>
          <w:szCs w:val="24"/>
          <w:highlight w:val="none"/>
        </w:rPr>
        <w:t xml:space="preserve">”发布的</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为准。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67" w:name="_Hlt26668999"/>
      <w:r/>
      <w:bookmarkEnd w:id="67"/>
      <w:r>
        <w:rPr>
          <w:rFonts w:hint="eastAsia" w:ascii="宋体" w:hAnsi="宋体" w:eastAsia="宋体" w:cs="宋体"/>
          <w:color w:val="auto"/>
          <w:sz w:val="24"/>
          <w:szCs w:val="24"/>
          <w:highlight w:val="none"/>
        </w:rPr>
        <w:t xml:space="preserve">2.磋商响应报价</w:t>
      </w:r>
      <w:bookmarkEnd w:id="64"/>
      <w:r/>
      <w:bookmarkEnd w:id="65"/>
      <w:r/>
      <w:bookmarkStart w:id="68" w:name="_Hlt26670373"/>
      <w:r/>
      <w:bookmarkEnd w:id="68"/>
      <w:r>
        <w:rPr>
          <w:rFonts w:hint="eastAsia" w:ascii="宋体" w:hAnsi="宋体" w:eastAsia="宋体" w:cs="宋体"/>
          <w:color w:val="auto"/>
          <w:sz w:val="24"/>
          <w:szCs w:val="24"/>
          <w:highlight w:val="none"/>
        </w:rPr>
        <w:t xml:space="preserve">表</w:t>
      </w:r>
      <w:bookmarkEnd w:id="66"/>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规定格式填报磋商响应报价表。每项产品或服务只允许有一个报价，任何有选择的报价将不予接受，</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中另有规定的按规定执行。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2.2标的物</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详见项目需求。</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2.3有关费用的处理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的总报价应包括为完成本项目发生的所有费用，本</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中另有规定的除外。</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未列明，而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认为必需的费用也须列入报价。</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2.4报价采用的货币及方式</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响应文件中的单价和总价，无特殊规定的采用人民币报价，以元为单位标注。</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中另有规定的按规定执行。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响应报价表上的价格应按</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规定填写。</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2.6最高限价</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报价超过最高限价的，作为无效标处理。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69" w:name="_Hlt26954852"/>
      <w:r/>
      <w:bookmarkEnd w:id="69"/>
      <w:r/>
      <w:bookmarkStart w:id="70" w:name="_Hlt26670403"/>
      <w:r/>
      <w:bookmarkEnd w:id="70"/>
      <w:r/>
      <w:bookmarkStart w:id="71" w:name="_Hlt26954854"/>
      <w:r/>
      <w:bookmarkEnd w:id="71"/>
      <w:r/>
      <w:bookmarkStart w:id="72" w:name="_Hlt26954731"/>
      <w:r/>
      <w:bookmarkEnd w:id="72"/>
      <w:r/>
      <w:bookmarkStart w:id="73" w:name="_Hlt26670493"/>
      <w:r/>
      <w:bookmarkEnd w:id="73"/>
      <w:r/>
      <w:bookmarkStart w:id="74" w:name="_Hlt26668983"/>
      <w:r/>
      <w:bookmarkEnd w:id="74"/>
      <w:r/>
      <w:bookmarkStart w:id="75" w:name="_Hlt26954844"/>
      <w:r/>
      <w:bookmarkEnd w:id="75"/>
      <w:r/>
      <w:bookmarkStart w:id="76" w:name="_Hlt26670482"/>
      <w:r/>
      <w:bookmarkEnd w:id="76"/>
      <w:r/>
      <w:bookmarkStart w:id="77" w:name="_Hlt26954850"/>
      <w:r/>
      <w:bookmarkEnd w:id="77"/>
      <w:r/>
      <w:bookmarkStart w:id="78" w:name="_Hlt26954739"/>
      <w:r/>
      <w:bookmarkEnd w:id="78"/>
      <w:r/>
      <w:bookmarkStart w:id="79" w:name="_Hlt26954734"/>
      <w:r/>
      <w:bookmarkEnd w:id="79"/>
      <w:r/>
      <w:bookmarkStart w:id="80" w:name="_Hlt26670489"/>
      <w:r/>
      <w:bookmarkEnd w:id="80"/>
      <w:r/>
      <w:bookmarkStart w:id="81" w:name="_Hlt26954842"/>
      <w:r/>
      <w:bookmarkEnd w:id="81"/>
      <w:r/>
      <w:bookmarkStart w:id="82" w:name="_Hlt26670486"/>
      <w:r/>
      <w:bookmarkEnd w:id="82"/>
      <w:r/>
      <w:bookmarkStart w:id="83" w:name="_Hlt26954846"/>
      <w:r/>
      <w:bookmarkEnd w:id="83"/>
      <w:r/>
      <w:bookmarkStart w:id="84" w:name="_Hlt26954749"/>
      <w:r/>
      <w:bookmarkEnd w:id="84"/>
      <w:r/>
      <w:bookmarkStart w:id="85" w:name="_Hlt26670425"/>
      <w:r/>
      <w:bookmarkEnd w:id="85"/>
      <w:r/>
      <w:bookmarkStart w:id="86" w:name="_Hlt26954848"/>
      <w:r/>
      <w:bookmarkEnd w:id="86"/>
      <w:r/>
      <w:bookmarkStart w:id="87" w:name="_Toc14577362"/>
      <w:r/>
      <w:bookmarkStart w:id="88" w:name="_Toc61149562"/>
      <w:r/>
      <w:bookmarkStart w:id="89" w:name="_Toc513029224"/>
      <w:r>
        <w:rPr>
          <w:rFonts w:hint="eastAsia" w:ascii="宋体" w:hAnsi="宋体" w:eastAsia="宋体" w:cs="宋体"/>
          <w:color w:val="auto"/>
          <w:sz w:val="24"/>
          <w:szCs w:val="24"/>
          <w:highlight w:val="none"/>
        </w:rPr>
        <w:t xml:space="preserve">3.磋商保证金</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依据《关于做好政府采购支持企业发展有关事项的通知》（苏财购〔2020〕52号）文件规定精神，本项目免收磋商保证金。</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中有关磋商保证金的条款均取消。</w:t>
      </w:r>
      <w:r/>
    </w:p>
    <w:p>
      <w:pPr>
        <w:ind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三、响应文件的递交</w:t>
      </w:r>
      <w:bookmarkEnd w:id="87"/>
      <w:r/>
      <w:bookmarkEnd w:id="88"/>
      <w:r/>
      <w:bookmarkEnd w:id="89"/>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90" w:name="_Hlt26954856"/>
      <w:r/>
      <w:bookmarkEnd w:id="90"/>
      <w:r/>
      <w:bookmarkStart w:id="91" w:name="_Toc61149563"/>
      <w:r/>
      <w:bookmarkStart w:id="92" w:name="_Toc513029225"/>
      <w:r/>
      <w:bookmarkStart w:id="93" w:name="_Toc462564084"/>
      <w:r/>
      <w:bookmarkStart w:id="94" w:name="_Toc14577363"/>
      <w:r>
        <w:rPr>
          <w:rFonts w:hint="eastAsia" w:ascii="宋体" w:hAnsi="宋体" w:eastAsia="宋体" w:cs="宋体"/>
          <w:color w:val="auto"/>
          <w:sz w:val="24"/>
          <w:szCs w:val="24"/>
          <w:highlight w:val="none"/>
        </w:rPr>
        <w:t xml:space="preserve">1.</w:t>
      </w:r>
      <w:bookmarkEnd w:id="91"/>
      <w:r/>
      <w:bookmarkEnd w:id="92"/>
      <w:r/>
      <w:bookmarkEnd w:id="93"/>
      <w:r/>
      <w:bookmarkEnd w:id="94"/>
      <w:r>
        <w:rPr>
          <w:rFonts w:hint="eastAsia" w:ascii="宋体" w:hAnsi="宋体" w:eastAsia="宋体" w:cs="宋体"/>
          <w:color w:val="auto"/>
          <w:sz w:val="24"/>
          <w:szCs w:val="24"/>
          <w:highlight w:val="none"/>
        </w:rPr>
        <w:t xml:space="preserve">电子响应文件的递交</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1.1供应商应当按照《操作手册》规定，在提交响应文件截止时间前制作并上传电子响应文件。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2提交响应文件的截止时间</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2.1供应商上传电子响应文件的时间不得迟于</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公告中规定的提交响应文件截止时间。</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第二章第5.3.2条规定作无效响应处理。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2.2采购人和代理机构可以按照规定，通过修改</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酌情延长提交响应文件截止日期，在此情况下，供应商的所有权利和义务以及供应商受制的截止日期均应以延长后新的截止日期为准。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95" w:name="_Hlt26954752"/>
      <w:r/>
      <w:bookmarkEnd w:id="95"/>
      <w:r/>
      <w:bookmarkStart w:id="96" w:name="_Hlt26670496"/>
      <w:r/>
      <w:bookmarkEnd w:id="96"/>
      <w:r/>
      <w:bookmarkStart w:id="97" w:name="_Hlt26954858"/>
      <w:r/>
      <w:bookmarkEnd w:id="97"/>
      <w:r/>
      <w:bookmarkStart w:id="98" w:name="_Toc61149564"/>
      <w:r/>
      <w:bookmarkStart w:id="99" w:name="_Toc14577364"/>
      <w:r/>
      <w:bookmarkStart w:id="100" w:name="_Toc513029226"/>
      <w:r>
        <w:rPr>
          <w:rFonts w:hint="eastAsia" w:ascii="宋体" w:hAnsi="宋体" w:eastAsia="宋体" w:cs="宋体"/>
          <w:color w:val="auto"/>
          <w:sz w:val="24"/>
          <w:szCs w:val="24"/>
          <w:highlight w:val="none"/>
        </w:rPr>
        <w:t xml:space="preserve">3.响应文件的拒收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3.1采购人拒绝接收在规定的提交响应文件截止时间后上传的任何电子响应文件。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4.响应文件的撤回和修改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4.1响应文件的撤回</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4.1.1电子响应文件的撤回</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4.1.2供应商撤回电子响应文件，则视为其不再参与本项目磋商活动。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4.2响应文件的修改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4.3在提交响应文件截止时间之后，供应商不得对其电子响应文件作任何修改。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4.4在提交响应文件截止时间至</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中规定的磋商有效期满之间的这段时间内，供应商不得撤回其响应文件。</w:t>
      </w:r>
      <w:r/>
    </w:p>
    <w:p>
      <w:pPr>
        <w:ind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四、响应文件的解密与评审</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1.响应文件解密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1.1供应商应当按照《操作手册》规定，在苏采云系统规定的时间内对响应文件进行解密。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2.磋商小组</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2.1采购代理机构将组织磋商小组对响应文件进行评审。</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2.2磋商小组独立工作，负责评审所有响应文件并确定成交候选人。</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3.评审过程的保密与公正</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3.1磋商小组、采购人和采购代理机构工作人员、相关监督人员等与评审工作有关的人员，对评审情况以及在评审过程中获悉的国家秘密、商业秘密负有保密责任。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3.2在评审过程中，供应商不得以任何行为影响磋商评审过程，否则其响应文件将被作为无效响应文件。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3.3在项目评审期间，采购代理机构将设专门人员与供应商联系。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3.4采购人、代理机构和磋商小组不向未成交的供应商解释未成交原因，也不公布评审过程中的相关细节。</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4.评审过程中的澄清</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4.3接到磋商小组澄清、说明和更正要求的供应商如未按规定作出澄清、说明和更正，其风险由供应商自行承担。</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5.对响应文件的审查</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5.1响应文件审查分为资格审查和符合性审查。</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5.1.1资格审查：由磋商小组依据法律法规和</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的规定，对响应文件中的资格证明文件进行审查，以确定供应商是否具备参加磋商的资格。</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5.1.2符合性审查：依据</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的规定，由磋商小组从响应文件的有效性、完整性和对</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的响应程度进行审查，以确定是否对</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的实质性要求作出响应。</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5.2在详细评审之前，磋商小组将首先审查每份响应文件是否实质性响应了</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的要求。实质性响应的响应文件应该是与</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要求的条款、条件和规格相符，没有重大偏离或保留。</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规定的实质性要求存在负偏离，或者在实质上与</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5.3未实质性响应</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的情形</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5.3.1供应商在苏采云系统规定的时间内未成功解密电子响应文件的；</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5.3.2供应商未按照</w:t>
      </w:r>
      <w:r>
        <w:rPr>
          <w:rFonts w:hint="eastAsia" w:ascii="宋体" w:hAnsi="宋体" w:eastAsia="宋体" w:cs="宋体"/>
          <w:b/>
          <w:bCs/>
          <w:color w:val="auto"/>
          <w:sz w:val="24"/>
          <w:szCs w:val="24"/>
          <w:highlight w:val="none"/>
          <w:lang w:eastAsia="zh-CN"/>
        </w:rPr>
        <w:t xml:space="preserve">采购文件</w:t>
      </w:r>
      <w:r>
        <w:rPr>
          <w:rFonts w:hint="eastAsia" w:ascii="宋体" w:hAnsi="宋体" w:eastAsia="宋体" w:cs="宋体"/>
          <w:b/>
          <w:bCs/>
          <w:color w:val="auto"/>
          <w:sz w:val="24"/>
          <w:szCs w:val="24"/>
          <w:highlight w:val="none"/>
        </w:rPr>
        <w:t xml:space="preserve">要求上传电子响应文件的；</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5.3.3同一供应商提交两个（含两个）以上不同的响应文件或者最后报价的；</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5.3.4</w:t>
      </w:r>
      <w:r>
        <w:rPr>
          <w:rFonts w:hint="eastAsia" w:ascii="宋体" w:hAnsi="宋体"/>
          <w:b/>
          <w:bCs w:val="0"/>
          <w:color w:val="auto"/>
          <w:sz w:val="24"/>
          <w:highlight w:val="none"/>
        </w:rPr>
        <w:t xml:space="preserve">不具备采购文件中规定的资格要求或未按采购文件规定的要求提供资格、资信证明文件的</w:t>
      </w:r>
      <w:r>
        <w:rPr>
          <w:rFonts w:hint="eastAsia" w:ascii="宋体" w:hAnsi="宋体" w:eastAsia="宋体" w:cs="宋体"/>
          <w:b/>
          <w:bCs/>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5.3.5</w:t>
      </w:r>
      <w:r>
        <w:rPr>
          <w:rFonts w:hint="eastAsia" w:ascii="宋体" w:hAnsi="宋体"/>
          <w:b/>
          <w:bCs w:val="0"/>
          <w:color w:val="auto"/>
          <w:sz w:val="24"/>
          <w:highlight w:val="none"/>
        </w:rPr>
        <w:t xml:space="preserve">项目（标段）总报价超过本项目（标段）预算或最高限价的，最终报价高于首次报价</w:t>
      </w:r>
      <w:r>
        <w:rPr>
          <w:rFonts w:hint="eastAsia" w:ascii="宋体" w:hAnsi="宋体"/>
          <w:b/>
          <w:bCs w:val="0"/>
          <w:color w:val="auto"/>
          <w:sz w:val="24"/>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5.3.6不符合</w:t>
      </w:r>
      <w:r>
        <w:rPr>
          <w:rFonts w:hint="eastAsia" w:ascii="宋体" w:hAnsi="宋体" w:eastAsia="宋体" w:cs="宋体"/>
          <w:b/>
          <w:bCs/>
          <w:color w:val="auto"/>
          <w:sz w:val="24"/>
          <w:szCs w:val="24"/>
          <w:highlight w:val="none"/>
          <w:lang w:eastAsia="zh-CN"/>
        </w:rPr>
        <w:t xml:space="preserve">采购文件</w:t>
      </w:r>
      <w:r>
        <w:rPr>
          <w:rFonts w:hint="eastAsia" w:ascii="宋体" w:hAnsi="宋体" w:eastAsia="宋体" w:cs="宋体"/>
          <w:b/>
          <w:bCs/>
          <w:color w:val="auto"/>
          <w:sz w:val="24"/>
          <w:szCs w:val="24"/>
          <w:highlight w:val="none"/>
        </w:rPr>
        <w:t xml:space="preserve">中规定的实质性要求和条件的；</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5.3.7供应商被“信用中国”网站（www.creditchina.gov.cn）列入失信被执行人、重大税收违法失信主体、政府采购严重违法失信行为记录名单</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或查询“信用中国”网站后发现供应商存在其他不符合《中华人民共和国政府采购法》第二十二条规定条件的信用记录；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5.3.8响应文件中含有采购人不能接受的附加条件的；</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5.3.9磋商小组认定供应商的报价明显低于其他通过符合性审查供应商的报价，有可能影响服务质量或者不能诚信履约，且供应商不能应磋商小组要求在合理的时间内提供书面说明，并加盖CA电子公章（必要时磋商小组可要求供应商提交相关证明材料）证明其报价合理性的；</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5.3.10</w:t>
      </w:r>
      <w:r>
        <w:rPr>
          <w:rFonts w:hint="eastAsia" w:ascii="宋体" w:hAnsi="宋体"/>
          <w:b/>
          <w:bCs w:val="0"/>
          <w:color w:val="auto"/>
          <w:sz w:val="24"/>
          <w:highlight w:val="none"/>
        </w:rPr>
        <w:t xml:space="preserve">响应文件未按采购文件规定的内容和要求填写的</w:t>
      </w:r>
      <w:r>
        <w:rPr>
          <w:rFonts w:hint="eastAsia" w:ascii="宋体" w:hAnsi="宋体" w:eastAsia="宋体" w:cs="宋体"/>
          <w:b/>
          <w:bCs/>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5.3.11</w:t>
      </w:r>
      <w:r>
        <w:rPr>
          <w:rFonts w:hint="eastAsia" w:ascii="宋体" w:hAnsi="宋体"/>
          <w:b/>
          <w:bCs w:val="0"/>
          <w:color w:val="auto"/>
          <w:sz w:val="24"/>
          <w:highlight w:val="none"/>
        </w:rPr>
        <w:t xml:space="preserve">响应文件未按要求签署、盖章的</w:t>
      </w:r>
      <w:r>
        <w:rPr>
          <w:rFonts w:hint="eastAsia" w:ascii="宋体" w:hAnsi="宋体"/>
          <w:b/>
          <w:bCs w:val="0"/>
          <w:color w:val="auto"/>
          <w:sz w:val="24"/>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5.4未实质性响应</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的响应文件按无效响应处理。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5.5如果响应文件实质上没有响应</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的要求，磋商小组将予以拒绝，供应商不得通过修改或撤销不符合要求的偏离或保留而使其成为实质性响应的文件。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5.6供应商在项目评审全过程中应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，并安排专人与采购代理机构及磋商小组联系。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6.磋商程序及评审方法和评审标准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6.1磋商程序</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6.1.1对于通过资格审查和符合性审查的供应商，磋商小组将集中与单一供应商分别进行磋商。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和磋商情况实质性变动的内容有：采购需求中的技术、服务要求以及合同草案条款。对</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作出的实质性变动是</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的有效组成部分，磋商小组将在苏采云系统中通知所有参加磋商的供应商。供应商应当按照</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的变动情况和磋商小组的要求在苏采云系统中重新提交响应文件，并加盖CA电子公章。</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能够详细列明采购标的的技术、服务要求的，磋商结束后，磋商小组将在苏采云系统要求所有实质性响应的供应商在规定时间内提交最后报价。本项目最后报价仅报总价，最后各项单价计算方法为：（最后报价总价/首次报价总价）*首次各项报价的单价。</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6.2评审方法和评审标准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6.2.1评审方法。经磋商确定最终采购需求和提交最后报价的供应商后，由磋商小组采用综合评分法对提交最后报价的供应商的响应文件和最后报价进行综合评分。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所述综合评分法，是指响应文件满足</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keepLines w:val="0"/>
        <w:keepNext w:val="0"/>
        <w:pageBreakBefore w:val="0"/>
        <w:spacing w:line="360" w:lineRule="auto"/>
        <w:widowControl w:val="off"/>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6.2.2相同品牌产品的处理方法</w:t>
      </w:r>
      <w:r/>
    </w:p>
    <w:p>
      <w:pPr>
        <w:ind w:firstLine="480"/>
        <w:keepLines w:val="0"/>
        <w:keepNext w:val="0"/>
        <w:pageBreakBefore w:val="0"/>
        <w:spacing w:line="360" w:lineRule="auto"/>
        <w:widowControl w:val="off"/>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采用最低评标价法的采购项目，提供相同品牌产品的不同投标供应商参加同一合同项下投标的，以其中通过资格审查、符合性审查且报价最低的参加评标；报价相同的，由采购人采取随机抽取方式确定，其他投标无效。</w:t>
      </w:r>
      <w:r/>
    </w:p>
    <w:p>
      <w:pPr>
        <w:ind w:firstLine="480"/>
        <w:keepLines w:val="0"/>
        <w:keepNext w:val="0"/>
        <w:pageBreakBefore w:val="0"/>
        <w:spacing w:line="360" w:lineRule="auto"/>
        <w:widowControl w:val="off"/>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使用综合评分法的采购项目，提供相同品牌产品且通过资格审查、符合性审查的不同投标供应商参加同一合同项下投标的，按一家投标供应商计算，评审后得分最高的同品牌投标供应商获得成交供应商推荐资格；评审得分相同的，</w:t>
      </w:r>
      <w:r>
        <w:rPr>
          <w:rFonts w:hint="eastAsia" w:ascii="宋体" w:hAnsi="宋体" w:eastAsia="宋体" w:cs="宋体"/>
          <w:color w:val="auto"/>
          <w:spacing w:val="0"/>
          <w:sz w:val="24"/>
          <w:szCs w:val="24"/>
          <w:highlight w:val="none"/>
          <w:lang w:bidi="ar-SA"/>
        </w:rPr>
        <w:t xml:space="preserve">采取随机抽取方式</w:t>
      </w:r>
      <w:r>
        <w:rPr>
          <w:rFonts w:hint="eastAsia" w:ascii="宋体" w:hAnsi="宋体" w:eastAsia="宋体" w:cs="宋体"/>
          <w:color w:val="auto"/>
          <w:spacing w:val="0"/>
          <w:sz w:val="24"/>
          <w:szCs w:val="24"/>
          <w:lang w:val="en-US" w:eastAsia="zh-CN"/>
        </w:rPr>
        <w:t xml:space="preserve">确定，其他同品牌投标供应商不作为中标候选人。</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0"/>
          <w:sz w:val="24"/>
          <w:szCs w:val="24"/>
          <w:lang w:val="en-US" w:eastAsia="zh-CN"/>
        </w:rPr>
        <w:t xml:space="preserve">非单一产品采购项目，磋商文件中将载明其中的核心产品。多家投标供应商提供的核心产品品牌相同的，按前两款规定处理。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评审标准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详见本</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第五章规定。</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6.3采购活动终止的情况</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6.3.1因情况变化，不再符合规定的竞争性磋商采购方式适用情形的。</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6.3.2出现影响采购公正性的违法、违规行为的。</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6.3.3除本</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第二章第6.1.2条第三款规定的情形外，在采购过程中符合要求的供应商或者最后报价未超过采购预算的供应商不足3家的。</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6.3.4在苏采云系统规定时间内成功解密电子响应文件的供应商不足3家的。</w:t>
      </w:r>
      <w:r/>
    </w:p>
    <w:p>
      <w:pPr>
        <w:ind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五、成交</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1.确定成交单位</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1.2采购人从评审报告提出的成交候选供应商中，按照排序由高到低的原则确定成交供应商。采购</w:t>
      </w:r>
      <w:r>
        <w:rPr>
          <w:rFonts w:hint="eastAsia" w:ascii="宋体" w:hAnsi="宋体" w:eastAsia="宋体" w:cs="宋体"/>
          <w:color w:val="auto"/>
          <w:sz w:val="24"/>
          <w:szCs w:val="24"/>
          <w:highlight w:val="none"/>
          <w:lang w:eastAsia="zh-CN"/>
        </w:rPr>
        <w:t xml:space="preserve">人在确定成交供应商</w:t>
      </w:r>
      <w:r>
        <w:rPr>
          <w:rFonts w:hint="eastAsia" w:ascii="宋体" w:hAnsi="宋体" w:eastAsia="宋体" w:cs="宋体"/>
          <w:color w:val="auto"/>
          <w:sz w:val="24"/>
          <w:szCs w:val="24"/>
          <w:highlight w:val="none"/>
        </w:rPr>
        <w:t xml:space="preserve">后，采购人将在“</w:t>
      </w:r>
      <w:r>
        <w:rPr>
          <w:rFonts w:hint="eastAsia" w:ascii="宋体" w:hAnsi="宋体" w:eastAsia="宋体" w:cs="宋体"/>
          <w:color w:val="auto"/>
          <w:sz w:val="24"/>
          <w:szCs w:val="24"/>
          <w:highlight w:val="none"/>
          <w:lang w:val="en-US" w:eastAsia="zh-CN"/>
        </w:rPr>
        <w:t xml:space="preserve">江苏政府采购网</w:t>
      </w:r>
      <w:r>
        <w:rPr>
          <w:rFonts w:hint="eastAsia" w:ascii="宋体" w:hAnsi="宋体" w:eastAsia="宋体" w:cs="宋体"/>
          <w:color w:val="auto"/>
          <w:sz w:val="24"/>
          <w:szCs w:val="24"/>
          <w:highlight w:val="none"/>
        </w:rPr>
        <w:t xml:space="preserve">”发布成交结果公告，公告期限为1个工作日。</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1.3若有充分证据证明，成交供应商出现下列情况之一的，一经查实，将被取消成交资格：</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1.3.1提供虚假材料牟取成交的。</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1.3.2与评审专家、采购人、其他供应商或者采购代理机构工作人员恶意串通的。</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1.3.3向评审专家、采购人或采购代理机构工作人员行贿或者提供其他不正当利益的。</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1.3.5不满足本</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规定的实质性要求，但在评审过程中又未被磋商小组发现的。</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1.3.6成交后无正当理由拒不与采购人签订政府采购合同或者未按照</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确定的事项签订政府采购合同的。</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2.质疑处理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2.2.1对可以质疑的采购文件提出质疑的，为收到采购文件之日或者采购文件公告期限届满之日。</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2.2.2对采购过程提出质疑的，为各采购程序环节结束之日。</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2.2.3对成交结果提出质疑的，为成交结果公告期限届满之日。</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2.3质疑函必须按照本</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中《质疑函范本》要求的格式和内容进行填写。</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采购人及采购代理机构只接收以纸质原件形式送达的质疑。</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第一章。</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2.5以下情形的质疑不予受理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2.5.1内容不符合《政府采购质疑和投诉办法》第十二条规定的质疑。</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2.5.2超出政府采购法定期限的质疑。</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2.5.3以传真、电子邮件等方式递交的非原件形式的质疑。</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2.5.4未参加磋商活动的供应商或在磋商活动中自身权益未受到损害的供应商所提出的质疑。</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2.5.5供应商组成联合体参加磋商，联合体中任何一方或多方未按要求签字、盖章、加盖公章的质疑。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3.成交通知书</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3.2成交通知书将是合同的一个组成部分。对采购人和成交供应商均具有法律效力。成交通知书发出后，采购人改变成交结果的，或者成交供应商放弃成交项目的，应当依法承担法律责任。</w:t>
      </w:r>
      <w:bookmarkEnd w:id="98"/>
      <w:r/>
      <w:bookmarkEnd w:id="99"/>
      <w:r/>
      <w:bookmarkEnd w:id="100"/>
      <w:r/>
      <w:r/>
    </w:p>
    <w:p>
      <w:pPr>
        <w:ind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bookmarkStart w:id="101" w:name="_Toc513029237"/>
      <w:r/>
      <w:bookmarkStart w:id="102" w:name="_Toc16938553"/>
      <w:r/>
      <w:bookmarkStart w:id="103" w:name="_Toc20823309"/>
      <w:r>
        <w:rPr>
          <w:rFonts w:hint="eastAsia" w:ascii="宋体" w:hAnsi="宋体" w:eastAsia="宋体" w:cs="宋体"/>
          <w:b/>
          <w:bCs/>
          <w:color w:val="auto"/>
          <w:sz w:val="24"/>
          <w:szCs w:val="24"/>
          <w:highlight w:val="none"/>
        </w:rPr>
        <w:t xml:space="preserve">六、签订、履行合同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.履约保证金：</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.1签订合同前，成交供应商应按竞争性磋商文件规定向采购人提交履约保证金。</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.2签订合同后，如成交供应商不按合同履行约定的，则其全部履约保证金不予退还，履约保证金不足以赔偿损失的，按实际损失赔偿。</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.3履约保证金金额：成交金额的</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履约保证金的递交：签订合同时递交，采用支票、汇票、本票或者金融机构、担保机构出具的保函、保证保险等非现金形式；</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履约保证金退还时间：履约保证金在</w:t>
      </w:r>
      <w:r>
        <w:rPr>
          <w:rFonts w:hint="eastAsia" w:ascii="宋体" w:hAnsi="宋体" w:eastAsia="宋体" w:cs="宋体"/>
          <w:color w:val="auto"/>
          <w:sz w:val="24"/>
          <w:szCs w:val="24"/>
          <w:highlight w:val="none"/>
          <w:lang w:val="en-US" w:eastAsia="zh-CN"/>
        </w:rPr>
        <w:t xml:space="preserve">项目验收合格</w:t>
      </w:r>
      <w:r>
        <w:rPr>
          <w:rFonts w:hint="eastAsia" w:ascii="宋体" w:hAnsi="宋体" w:eastAsia="宋体" w:cs="宋体"/>
          <w:color w:val="auto"/>
          <w:sz w:val="24"/>
          <w:szCs w:val="24"/>
          <w:highlight w:val="none"/>
        </w:rPr>
        <w:t xml:space="preserve">扣除成交供应商违约金罚金等费用后，无息返还剩余的履约保证金</w:t>
      </w:r>
      <w:r>
        <w:rPr>
          <w:rFonts w:hint="eastAsia" w:ascii="宋体" w:hAnsi="宋体" w:eastAsia="宋体" w:cs="宋体"/>
          <w:color w:val="auto"/>
          <w:sz w:val="24"/>
          <w:szCs w:val="24"/>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2.签订合同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2.l成交供应商应当在成交通知书发出之日起30日内，按照</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确定的事项与采购人签订政府采购合同。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、成交供应商的响应文件及磋商过程中有关澄清、承诺文件均应作为合同附件。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3.标的物的追加</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七、其他事项说明：（落实的相关政策）</w:t>
      </w:r>
      <w:bookmarkEnd w:id="101"/>
      <w:r/>
      <w:bookmarkEnd w:id="102"/>
      <w:r/>
      <w:bookmarkEnd w:id="103"/>
      <w:r/>
      <w:r/>
    </w:p>
    <w:p>
      <w:pPr>
        <w:ind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采购项目需要落实的政府采购政策：依据《中华人民共和国政府采购法》《中华人民共和国政府采购法实施条例》和《政府采购竞争性磋商采购方式管理办法》的有关规定，落实政府采购政策。</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p>
    <w:p>
      <w:pPr>
        <w:ind w:firstLine="42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采购本国产品的支持政策</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本项目政府采购活动中既有本国产品又有非本国产品参与竞争的，依法对本国产品给予价格评审优惠，对本国产品的报价给予</w:t>
      </w:r>
      <w:r>
        <w:rPr>
          <w:rFonts w:hint="eastAsia" w:ascii="宋体" w:hAnsi="宋体" w:eastAsia="宋体" w:cs="宋体"/>
          <w:b/>
          <w:bCs/>
          <w:color w:val="auto"/>
          <w:sz w:val="24"/>
          <w:szCs w:val="24"/>
          <w:highlight w:val="none"/>
        </w:rPr>
        <w:t xml:space="preserve">20%</w:t>
      </w:r>
      <w:r>
        <w:rPr>
          <w:rFonts w:hint="eastAsia" w:ascii="宋体" w:hAnsi="宋体" w:eastAsia="宋体" w:cs="宋体"/>
          <w:color w:val="auto"/>
          <w:sz w:val="24"/>
          <w:szCs w:val="24"/>
          <w:highlight w:val="none"/>
        </w:rPr>
        <w:t xml:space="preserve">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供应商需按照</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的要求提供《关于符合本国产品标准的声明函》（以下简称《声明函》），如不提供将不享受本国产品价格评审优惠。</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规定的，供应商提供的相关产品视为不符合本国产品标准。</w:t>
      </w:r>
      <w:r/>
    </w:p>
    <w:p>
      <w:pPr>
        <w:ind w:firstLine="480"/>
        <w:keepLines w:val="0"/>
        <w:keepNext w:val="0"/>
        <w:pageBreakBefore w:val="0"/>
        <w:spacing w:line="440" w:lineRule="exact"/>
        <w:widowControl w:val="off"/>
        <w:rPr>
          <w:rFonts w:hint="eastAsia" w:ascii="宋体" w:hAnsi="宋体" w:eastAsia="宋体" w:cs="宋体"/>
          <w:b/>
          <w:bCs/>
          <w:color w:val="auto"/>
          <w:spacing w:val="0"/>
          <w:sz w:val="24"/>
          <w:szCs w:val="24"/>
          <w:highlight w:val="none"/>
          <w:lang w:bidi="ar-SA"/>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pacing w:val="0"/>
          <w:sz w:val="24"/>
          <w:szCs w:val="24"/>
          <w:highlight w:val="none"/>
          <w:lang w:bidi="ar-SA"/>
        </w:rPr>
        <w:t xml:space="preserve">节能产品、环境标志产品</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拟采购的产品属于政府强制采购的节能产品品目清单范围的，</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须提供国家确定的认证机构出具的、处于有效期之内的节能产品认证证书，否则其</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作无效标处理。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采购人拟采购的产品属于优先采购的节能环保品目清单范围的，</w:t>
      </w:r>
      <w:r>
        <w:rPr>
          <w:rFonts w:hint="eastAsia" w:ascii="宋体" w:hAnsi="宋体" w:eastAsia="宋体" w:cs="宋体"/>
          <w:color w:val="auto"/>
          <w:sz w:val="24"/>
          <w:szCs w:val="24"/>
          <w:highlight w:val="none"/>
          <w:lang w:val="en-US" w:eastAsia="zh-CN"/>
        </w:rPr>
        <w:t xml:space="preserve">优先采购的具体规定见第五章《评标方法与评标标准》</w:t>
      </w:r>
      <w:r>
        <w:rPr>
          <w:rFonts w:hint="eastAsia" w:ascii="宋体" w:hAnsi="宋体" w:eastAsia="宋体" w:cs="宋体"/>
          <w:color w:val="auto"/>
          <w:sz w:val="24"/>
          <w:szCs w:val="24"/>
          <w:highlight w:val="none"/>
          <w:lang w:eastAsia="zh-CN"/>
        </w:rPr>
        <w:t xml:space="preserve">（如涉及）</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pacing w:val="0"/>
          <w:sz w:val="24"/>
          <w:szCs w:val="24"/>
          <w:highlight w:val="none"/>
          <w:lang w:bidi="ar-SA"/>
        </w:rPr>
      </w:pPr>
      <w:r>
        <w:rPr>
          <w:rFonts w:hint="eastAsia" w:ascii="宋体" w:hAnsi="宋体" w:eastAsia="宋体" w:cs="宋体"/>
          <w:b/>
          <w:bCs/>
          <w:color w:val="auto"/>
          <w:spacing w:val="0"/>
          <w:sz w:val="24"/>
          <w:szCs w:val="24"/>
          <w:highlight w:val="none"/>
          <w:lang w:eastAsia="zh-CN" w:bidi="ar-SA"/>
        </w:rPr>
        <w:t xml:space="preserve">（</w:t>
      </w:r>
      <w:r>
        <w:rPr>
          <w:rFonts w:hint="eastAsia" w:ascii="宋体" w:hAnsi="宋体" w:eastAsia="宋体" w:cs="宋体"/>
          <w:b/>
          <w:bCs/>
          <w:color w:val="auto"/>
          <w:spacing w:val="0"/>
          <w:sz w:val="24"/>
          <w:szCs w:val="24"/>
          <w:highlight w:val="none"/>
          <w:lang w:val="en-US" w:eastAsia="zh-CN" w:bidi="ar-SA"/>
        </w:rPr>
        <w:t xml:space="preserve">四</w:t>
      </w:r>
      <w:r>
        <w:rPr>
          <w:rFonts w:hint="eastAsia" w:ascii="宋体" w:hAnsi="宋体" w:eastAsia="宋体" w:cs="宋体"/>
          <w:b/>
          <w:bCs/>
          <w:color w:val="auto"/>
          <w:spacing w:val="0"/>
          <w:sz w:val="24"/>
          <w:szCs w:val="24"/>
          <w:highlight w:val="none"/>
          <w:lang w:eastAsia="zh-CN" w:bidi="ar-SA"/>
        </w:rPr>
        <w:t xml:space="preserve">）</w:t>
      </w:r>
      <w:r>
        <w:rPr>
          <w:rFonts w:hint="eastAsia" w:ascii="宋体" w:hAnsi="宋体" w:eastAsia="宋体" w:cs="宋体"/>
          <w:b/>
          <w:bCs/>
          <w:color w:val="auto"/>
          <w:spacing w:val="0"/>
          <w:sz w:val="24"/>
          <w:szCs w:val="24"/>
          <w:highlight w:val="none"/>
          <w:lang w:bidi="ar-SA"/>
        </w:rPr>
        <w:t xml:space="preserve">政府采购需求标准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1.绿色数据中心政府采购需求标准（试行）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按照财政部生态环境部工业和信息化部关于印发《绿色数据中心政府采购需求标准（试行）》的通知）要求执行。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2.根据《商品包装政府采购需求标准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试行</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快递包装政府采购需求标准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试行</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》的通知</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财办库</w:t>
      </w:r>
      <w:r>
        <w:rPr>
          <w:rFonts w:hint="eastAsia" w:ascii="宋体" w:hAnsi="宋体" w:cs="宋体"/>
          <w:color w:val="auto"/>
          <w:sz w:val="24"/>
          <w:szCs w:val="24"/>
          <w:highlight w:val="none"/>
          <w:lang w:val="en-US" w:eastAsia="zh-CN"/>
        </w:rPr>
        <w:t xml:space="preserve">〔2020〕123号）</w:t>
      </w:r>
      <w:r>
        <w:rPr>
          <w:rFonts w:hint="eastAsia" w:ascii="宋体" w:hAnsi="宋体" w:eastAsia="宋体" w:cs="宋体"/>
          <w:color w:val="auto"/>
          <w:sz w:val="24"/>
          <w:szCs w:val="24"/>
          <w:highlight w:val="none"/>
          <w:lang w:val="en-US" w:eastAsia="zh-CN"/>
        </w:rPr>
        <w:t xml:space="preserve">要求，商品使用的塑料、纸质、木材等包装需达到环保要求。</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（五）根据泰财购</w:t>
      </w:r>
      <w:r>
        <w:rPr>
          <w:rFonts w:hint="eastAsia" w:ascii="宋体" w:hAnsi="宋体" w:cs="宋体"/>
          <w:color w:val="auto"/>
          <w:sz w:val="24"/>
          <w:szCs w:val="24"/>
          <w:highlight w:val="none"/>
          <w:lang w:val="en-US" w:eastAsia="zh-CN"/>
        </w:rPr>
        <w:t xml:space="preserve">〔2023〕33号</w:t>
      </w:r>
      <w:r>
        <w:rPr>
          <w:rFonts w:hint="eastAsia" w:ascii="宋体" w:hAnsi="宋体" w:eastAsia="宋体" w:cs="宋体"/>
          <w:color w:val="auto"/>
          <w:sz w:val="24"/>
          <w:szCs w:val="24"/>
          <w:highlight w:val="none"/>
          <w:lang w:val="en-US" w:eastAsia="zh-CN"/>
        </w:rPr>
        <w:t xml:space="preserve">文 市财政局国家金融监督管理总局泰州监管分局市地方金融监督管理局关于转发《江苏省财政厅国家金融监督管理总局江苏监管局江苏省地方金融监督管理局关于在全省政府采购领域推行电子履约保函</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保险</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的通知》，履约保证金（如有）接收电子履约保函</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保险</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、关于异常低价的审查</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根据财库〔2026〕2号文《财政部关于推动解决政府采购异常低价问题的通知》：</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1.政府采购评审中出现下列情形之一的，评审委员会应当启动异常低价投标（响应）审查程序：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1.1投标（响应）报价低于全部通过符合性审查供应商投标（响应）报价平均值50%的，即投标（响应）报价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全部通过符合性审查供应商投标（响应）报价平均值×50%；</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1.2投标（响应）报价低于通过符合性审查的次低报价供应商投标（响应）报价50%的，即投标（响应）报价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通过符合性审查的次低报价供应商投标（响应）报价×50%；</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1.3投标（响应）报价低于采购项目最高限价45%的，即投标（响应）报价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采购项目最高限价×45%；</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2.评审委员会启动异常低价投标（响应）审查后，属于前述第1项至第4项情形的，应当要求相关供应商在评审现场合理的时间内对投标（响应）价格作出解释</w:t>
      </w:r>
      <w:r>
        <w:rPr>
          <w:rFonts w:hint="eastAsia" w:ascii="宋体" w:hAnsi="宋体" w:eastAsia="宋体" w:cs="宋体"/>
          <w:color w:val="auto"/>
          <w:sz w:val="24"/>
          <w:szCs w:val="24"/>
          <w:highlight w:val="none"/>
          <w:lang w:eastAsia="zh-CN"/>
        </w:rPr>
        <w:t xml:space="preserve">，并</w:t>
      </w:r>
      <w:r>
        <w:rPr>
          <w:rFonts w:hint="eastAsia" w:ascii="宋体" w:hAnsi="宋体" w:eastAsia="宋体" w:cs="宋体"/>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1"/>
        </w:numPr>
        <w:ind w:firstLine="480"/>
        <w:keepLines w:val="0"/>
        <w:keepNext w:val="0"/>
        <w:pageBreakBefore w:val="0"/>
        <w:spacing w:line="360" w:lineRule="auto"/>
        <w:widowControl w:val="off"/>
        <w:tabs>
          <w:tab w:val="left" w:pos="900" w:leader="none"/>
        </w:tabs>
        <w:rPr>
          <w:rFonts w:hint="eastAsia" w:ascii="宋体" w:hAnsi="宋体" w:eastAsia="宋体" w:cs="宋体"/>
          <w:b/>
          <w:bCs/>
          <w:color w:val="000000"/>
          <w:sz w:val="24"/>
          <w:szCs w:val="24"/>
          <w:highlight w:val="none"/>
          <w:u w:val="single"/>
          <w:lang w:val="en-US" w:eastAsia="zh-CN"/>
        </w:rPr>
      </w:pPr>
      <w:r>
        <w:rPr>
          <w:rFonts w:hint="eastAsia" w:ascii="宋体" w:hAnsi="宋体" w:eastAsia="宋体" w:cs="宋体"/>
          <w:b/>
          <w:bCs/>
          <w:color w:val="000000"/>
          <w:sz w:val="24"/>
          <w:szCs w:val="24"/>
          <w:highlight w:val="none"/>
          <w:lang w:val="en-US" w:eastAsia="zh-CN"/>
        </w:rPr>
        <w:t xml:space="preserve">本次采购核心产品为：</w:t>
      </w:r>
      <w:r>
        <w:rPr>
          <w:rFonts w:hint="eastAsia" w:ascii="宋体" w:hAnsi="宋体" w:eastAsia="宋体" w:cs="宋体"/>
          <w:b/>
          <w:bCs/>
          <w:color w:val="000000"/>
          <w:sz w:val="24"/>
          <w:szCs w:val="24"/>
          <w:highlight w:val="none"/>
          <w:u w:val="single"/>
          <w:lang w:val="en-US" w:eastAsia="zh-CN"/>
        </w:rPr>
        <w:t xml:space="preserve">控制台。</w:t>
      </w:r>
      <w:r/>
    </w:p>
    <w:p>
      <w:pPr>
        <w:ind w:firstLine="480"/>
        <w:keepLines w:val="0"/>
        <w:keepNext w:val="0"/>
        <w:pageBreakBefore w:val="0"/>
        <w:spacing w:line="360" w:lineRule="auto"/>
        <w:widowControl w:val="off"/>
        <w:tabs>
          <w:tab w:val="left" w:pos="900" w:leader="none"/>
        </w:tabs>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lang w:val="en-US" w:eastAsia="zh-CN"/>
        </w:rPr>
        <w:t xml:space="preserve">、采购标的所属行业</w:t>
      </w:r>
      <w:r/>
    </w:p>
    <w:p>
      <w:pPr>
        <w:numPr>
          <w:ilvl w:val="0"/>
          <w:numId w:val="0"/>
        </w:numPr>
        <w:ind w:firstLine="480"/>
        <w:keepLines w:val="0"/>
        <w:keepNext w:val="0"/>
        <w:pageBreakBefore w:val="0"/>
        <w:spacing w:line="360" w:lineRule="auto"/>
        <w:widowControl w:val="off"/>
        <w:tabs>
          <w:tab w:val="left" w:pos="900" w:leader="none"/>
        </w:tabs>
        <w:rPr>
          <w:rFonts w:hint="eastAsia" w:ascii="宋体" w:hAnsi="宋体" w:eastAsia="宋体" w:cs="宋体"/>
          <w:b/>
          <w:bCs/>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 xml:space="preserve">参照《关于印发中小企业划型标准规定的通知》（工信部联企业〔2011〕300号）文件，本项目采购标的所属行业为</w:t>
      </w:r>
      <w:r>
        <w:rPr>
          <w:rFonts w:hint="eastAsia" w:ascii="宋体" w:hAnsi="宋体" w:cs="宋体"/>
          <w:b/>
          <w:bCs/>
          <w:color w:val="000000"/>
          <w:sz w:val="24"/>
          <w:szCs w:val="24"/>
          <w:highlight w:val="none"/>
          <w:u w:val="single"/>
          <w:lang w:val="en-US" w:eastAsia="zh-CN"/>
        </w:rPr>
        <w:t xml:space="preserve">工业</w:t>
      </w:r>
      <w:r>
        <w:rPr>
          <w:rFonts w:hint="eastAsia" w:ascii="宋体" w:hAnsi="宋体" w:eastAsia="宋体" w:cs="宋体"/>
          <w:color w:val="000000"/>
          <w:sz w:val="24"/>
          <w:szCs w:val="24"/>
          <w:highlight w:val="none"/>
          <w:u w:val="none"/>
          <w:lang w:val="en-US" w:eastAsia="zh-CN"/>
        </w:rPr>
        <w:t xml:space="preserve">。</w:t>
      </w:r>
      <w:r/>
    </w:p>
    <w:p>
      <w:pPr>
        <w:pStyle w:val="1044"/>
        <w:jc w:val="center"/>
        <w:keepNext w:val="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第三章  合同条款及格式（参考）</w:t>
      </w:r>
      <w:r/>
    </w:p>
    <w:p>
      <w:pPr>
        <w:pStyle w:val="1045"/>
        <w:pageBreakBefore w:val="0"/>
        <w:spacing w:line="360" w:lineRule="auto"/>
        <w:rPr>
          <w:rFonts w:hint="eastAsia" w:ascii="宋体" w:hAnsi="宋体" w:eastAsia="宋体" w:cs="宋体"/>
          <w:b w:val="0"/>
          <w:bCs/>
          <w:color w:val="auto"/>
          <w:sz w:val="24"/>
          <w:szCs w:val="24"/>
          <w:highlight w:val="none"/>
        </w:rPr>
      </w:pPr>
      <w:r/>
      <w:bookmarkStart w:id="104" w:name="_Toc434410155"/>
      <w:r/>
      <w:bookmarkStart w:id="105" w:name="_Toc518041191"/>
      <w:r>
        <w:rPr>
          <w:rFonts w:hint="eastAsia" w:ascii="宋体" w:hAnsi="宋体" w:eastAsia="宋体" w:cs="宋体"/>
          <w:b w:val="0"/>
          <w:bCs/>
          <w:color w:val="auto"/>
          <w:sz w:val="24"/>
          <w:szCs w:val="24"/>
          <w:highlight w:val="none"/>
        </w:rPr>
        <w:t xml:space="preserve">（以实际签订合同为准 合同的签订内容以采购文件的具体内容为准）</w:t>
      </w:r>
      <w:bookmarkEnd w:id="104"/>
      <w:r/>
      <w:bookmarkEnd w:id="105"/>
      <w:r/>
      <w:r/>
    </w:p>
    <w:p>
      <w:pPr>
        <w:ind w:firstLine="480"/>
        <w:spacing w:line="520" w:lineRule="exact"/>
        <w:rPr>
          <w:rFonts w:hint="eastAsia" w:ascii="宋体" w:hAnsi="宋体" w:eastAsia="宋体" w:cs="宋体"/>
          <w:bCs/>
          <w:color w:val="auto"/>
          <w:spacing w:val="0"/>
          <w:sz w:val="24"/>
          <w:szCs w:val="24"/>
          <w:highlight w:val="none"/>
        </w:rPr>
      </w:pPr>
      <w:r/>
      <w:bookmarkStart w:id="106" w:name="hetongStart"/>
      <w:r/>
      <w:bookmarkEnd w:id="106"/>
      <w:r>
        <w:rPr>
          <w:rFonts w:hint="eastAsia" w:ascii="宋体" w:hAnsi="宋体" w:eastAsia="宋体" w:cs="宋体"/>
          <w:bCs/>
          <w:color w:val="auto"/>
          <w:spacing w:val="0"/>
          <w:sz w:val="24"/>
          <w:szCs w:val="24"/>
          <w:highlight w:val="none"/>
        </w:rPr>
        <w:t xml:space="preserve">以下为采购人与</w:t>
      </w:r>
      <w:r>
        <w:rPr>
          <w:rFonts w:hint="eastAsia" w:ascii="宋体" w:hAnsi="宋体" w:eastAsia="宋体" w:cs="宋体"/>
          <w:bCs/>
          <w:color w:val="auto"/>
          <w:spacing w:val="0"/>
          <w:sz w:val="24"/>
          <w:szCs w:val="24"/>
          <w:highlight w:val="none"/>
          <w:lang w:eastAsia="zh-CN"/>
        </w:rPr>
        <w:t xml:space="preserve">成交供应商</w:t>
      </w:r>
      <w:r>
        <w:rPr>
          <w:rFonts w:hint="eastAsia" w:ascii="宋体" w:hAnsi="宋体" w:eastAsia="宋体" w:cs="宋体"/>
          <w:bCs/>
          <w:color w:val="auto"/>
          <w:spacing w:val="0"/>
          <w:sz w:val="24"/>
          <w:szCs w:val="24"/>
          <w:highlight w:val="none"/>
        </w:rPr>
        <w:t xml:space="preserve">签订本项目合同的通用条款，</w:t>
      </w:r>
      <w:r>
        <w:rPr>
          <w:rFonts w:hint="eastAsia" w:ascii="宋体" w:hAnsi="宋体" w:eastAsia="宋体" w:cs="宋体"/>
          <w:bCs/>
          <w:color w:val="auto"/>
          <w:spacing w:val="0"/>
          <w:sz w:val="24"/>
          <w:szCs w:val="24"/>
          <w:highlight w:val="none"/>
          <w:lang w:eastAsia="zh-CN"/>
        </w:rPr>
        <w:t xml:space="preserve">成交供应商</w:t>
      </w:r>
      <w:r>
        <w:rPr>
          <w:rFonts w:hint="eastAsia" w:ascii="宋体" w:hAnsi="宋体" w:eastAsia="宋体" w:cs="宋体"/>
          <w:bCs/>
          <w:color w:val="auto"/>
          <w:spacing w:val="0"/>
          <w:sz w:val="24"/>
          <w:szCs w:val="24"/>
          <w:highlight w:val="none"/>
        </w:rPr>
        <w:t xml:space="preserve">不得提出实质性的修改，关于专用条款将由采购人与</w:t>
      </w:r>
      <w:r>
        <w:rPr>
          <w:rFonts w:hint="eastAsia" w:ascii="宋体" w:hAnsi="宋体" w:eastAsia="宋体" w:cs="宋体"/>
          <w:bCs/>
          <w:color w:val="auto"/>
          <w:spacing w:val="0"/>
          <w:sz w:val="24"/>
          <w:szCs w:val="24"/>
          <w:highlight w:val="none"/>
          <w:lang w:eastAsia="zh-CN"/>
        </w:rPr>
        <w:t xml:space="preserve">成交供应商</w:t>
      </w:r>
      <w:r>
        <w:rPr>
          <w:rFonts w:hint="eastAsia" w:ascii="宋体" w:hAnsi="宋体" w:eastAsia="宋体" w:cs="宋体"/>
          <w:bCs/>
          <w:color w:val="auto"/>
          <w:spacing w:val="0"/>
          <w:sz w:val="24"/>
          <w:szCs w:val="24"/>
          <w:highlight w:val="none"/>
        </w:rPr>
        <w:t xml:space="preserve">结合本项目具体情况协商后签订。</w:t>
      </w:r>
      <w:r/>
    </w:p>
    <w:p>
      <w:pPr>
        <w:ind w:firstLine="480"/>
        <w:spacing w:line="360" w:lineRule="exact"/>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r>
      <w:r/>
    </w:p>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项目名称：                                       项目编号：</w:t>
      </w:r>
      <w:r/>
    </w:p>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甲方：（买方）</w:t>
      </w:r>
      <w:r>
        <w:rPr>
          <w:rFonts w:hint="eastAsia" w:ascii="宋体" w:hAnsi="宋体" w:eastAsia="宋体" w:cs="宋体"/>
          <w:color w:val="auto"/>
          <w:sz w:val="24"/>
          <w:szCs w:val="24"/>
          <w:highlight w:val="none"/>
          <w:u w:val="single"/>
          <w:shd w:val="clear" w:color="auto" w:fill="ffffff"/>
        </w:rPr>
        <w:t xml:space="preserve">　　　　　　　　　　　</w:t>
      </w:r>
      <w:r/>
    </w:p>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乙方：（卖方）</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 xml:space="preserve">　　</w:t>
      </w:r>
      <w:r/>
    </w:p>
    <w:p>
      <w:pPr>
        <w:jc w:val="left"/>
        <w:spacing w:line="400" w:lineRule="exact"/>
        <w:rPr>
          <w:rFonts w:hint="eastAsia"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甲、乙双方根据项目</w:t>
      </w:r>
      <w:r>
        <w:rPr>
          <w:rFonts w:hint="eastAsia" w:ascii="宋体" w:hAnsi="宋体" w:eastAsia="宋体" w:cs="宋体"/>
          <w:color w:val="auto"/>
          <w:sz w:val="24"/>
          <w:szCs w:val="24"/>
          <w:highlight w:val="none"/>
          <w:shd w:val="clear" w:color="auto" w:fill="ffffff"/>
          <w:lang w:val="en-US" w:eastAsia="zh-CN"/>
        </w:rPr>
        <w:t xml:space="preserve">招标</w:t>
      </w:r>
      <w:r>
        <w:rPr>
          <w:rFonts w:hint="eastAsia" w:ascii="宋体" w:hAnsi="宋体" w:eastAsia="宋体" w:cs="宋体"/>
          <w:color w:val="auto"/>
          <w:sz w:val="24"/>
          <w:szCs w:val="24"/>
          <w:highlight w:val="none"/>
          <w:shd w:val="clear" w:color="auto" w:fill="ffffff"/>
        </w:rPr>
        <w:t xml:space="preserve">的结果，签署本合同。</w:t>
      </w:r>
      <w:r/>
    </w:p>
    <w:p>
      <w:pPr>
        <w:numPr>
          <w:ilvl w:val="0"/>
          <w:numId w:val="2"/>
        </w:numPr>
        <w:ind w:left="-420" w:firstLine="420"/>
        <w:jc w:val="left"/>
        <w:spacing w:line="400" w:lineRule="exact"/>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货物内容</w:t>
      </w:r>
      <w:r/>
    </w:p>
    <w:tbl>
      <w:tblPr>
        <w:tblStyle w:val="828"/>
        <w:tblW w:w="91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890"/>
        <w:gridCol w:w="2056"/>
        <w:gridCol w:w="1565"/>
        <w:gridCol w:w="892"/>
        <w:gridCol w:w="938"/>
        <w:gridCol w:w="1000"/>
      </w:tblGrid>
      <w:tr>
        <w:trPr>
          <w:trHeight w:val="400"/>
        </w:trPr>
        <w:tc>
          <w:tcPr>
            <w:tcW w:w="777" w:type="dxa"/>
            <w:vAlign w:val="center"/>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编号</w:t>
            </w:r>
            <w:r/>
          </w:p>
        </w:tc>
        <w:tc>
          <w:tcPr>
            <w:tcW w:w="1890" w:type="dxa"/>
            <w:vAlign w:val="center"/>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货物</w:t>
            </w:r>
            <w:r>
              <w:rPr>
                <w:rFonts w:hint="eastAsia" w:ascii="宋体" w:hAnsi="宋体" w:eastAsia="宋体" w:cs="宋体"/>
                <w:color w:val="auto"/>
                <w:sz w:val="24"/>
                <w:szCs w:val="24"/>
                <w:highlight w:val="none"/>
                <w:shd w:val="clear" w:color="auto" w:fill="ffffff"/>
              </w:rPr>
              <w:t xml:space="preserve">（或费用）名称</w:t>
            </w:r>
            <w:r/>
          </w:p>
        </w:tc>
        <w:tc>
          <w:tcPr>
            <w:tcW w:w="2056" w:type="dxa"/>
            <w:vAlign w:val="center"/>
            <w:textDirection w:val="lrTb"/>
            <w:noWrap/>
          </w:tcPr>
          <w:p>
            <w:pPr>
              <w:jc w:val="left"/>
              <w:spacing w:line="400" w:lineRule="exact"/>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品牌、</w:t>
            </w:r>
            <w:r>
              <w:rPr>
                <w:rFonts w:hint="eastAsia" w:ascii="宋体" w:hAnsi="宋体" w:eastAsia="宋体" w:cs="宋体"/>
                <w:color w:val="auto"/>
                <w:sz w:val="24"/>
                <w:szCs w:val="24"/>
                <w:highlight w:val="none"/>
                <w:shd w:val="clear" w:color="auto" w:fill="ffffff"/>
              </w:rPr>
              <w:t xml:space="preserve">型号</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规格</w:t>
            </w:r>
            <w:r/>
          </w:p>
        </w:tc>
        <w:tc>
          <w:tcPr>
            <w:shd w:val="clear" w:color="auto" w:fill="auto"/>
            <w:tcW w:w="1565" w:type="dxa"/>
            <w:vAlign w:val="center"/>
            <w:textDirection w:val="lrTb"/>
            <w:noWrap/>
          </w:tcPr>
          <w:p>
            <w:pPr>
              <w:jc w:val="center"/>
              <w:spacing w:line="400" w:lineRule="exact"/>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原产地及</w:t>
            </w:r>
            <w:r/>
          </w:p>
          <w:p>
            <w:pPr>
              <w:jc w:val="center"/>
              <w:spacing w:line="400" w:lineRule="exact"/>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生产厂商</w:t>
            </w:r>
            <w:r/>
          </w:p>
        </w:tc>
        <w:tc>
          <w:tcPr>
            <w:tcW w:w="892" w:type="dxa"/>
            <w:vAlign w:val="center"/>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数量</w:t>
            </w:r>
            <w:r/>
          </w:p>
        </w:tc>
        <w:tc>
          <w:tcPr>
            <w:tcW w:w="938" w:type="dxa"/>
            <w:vAlign w:val="center"/>
            <w:textDirection w:val="lrTb"/>
            <w:noWrap/>
          </w:tcPr>
          <w:p>
            <w:pPr>
              <w:jc w:val="center"/>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单价</w:t>
            </w:r>
            <w:r/>
          </w:p>
        </w:tc>
        <w:tc>
          <w:tcPr>
            <w:tcW w:w="1000" w:type="dxa"/>
            <w:vAlign w:val="center"/>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备注</w:t>
            </w:r>
            <w:r/>
          </w:p>
        </w:tc>
      </w:tr>
      <w:tr>
        <w:trPr>
          <w:trHeight w:val="374"/>
        </w:trPr>
        <w:tc>
          <w:tcPr>
            <w:tcW w:w="777"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90"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056"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shd w:val="clear" w:color="auto" w:fill="auto"/>
            <w:tcW w:w="1565" w:type="dxa"/>
            <w:vAlign w:val="top"/>
            <w:textDirection w:val="lrTb"/>
            <w:noWrap/>
          </w:tcPr>
          <w:p>
            <w:pPr>
              <w:jc w:val="left"/>
              <w:spacing w:line="400" w:lineRule="exact"/>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tc>
        <w:tc>
          <w:tcPr>
            <w:tcW w:w="892"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938"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00"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trHeight w:val="374"/>
        </w:trPr>
        <w:tc>
          <w:tcPr>
            <w:tcW w:w="777"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90"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056"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shd w:val="clear" w:color="auto" w:fill="auto"/>
            <w:tcW w:w="1565" w:type="dxa"/>
            <w:vAlign w:val="top"/>
            <w:textDirection w:val="lrTb"/>
            <w:noWrap/>
          </w:tcPr>
          <w:p>
            <w:pPr>
              <w:jc w:val="left"/>
              <w:spacing w:line="400" w:lineRule="exact"/>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tc>
        <w:tc>
          <w:tcPr>
            <w:tcW w:w="892"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938"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00"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trHeight w:val="374"/>
        </w:trPr>
        <w:tc>
          <w:tcPr>
            <w:tcW w:w="777"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90"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056"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shd w:val="clear" w:color="auto" w:fill="auto"/>
            <w:tcW w:w="1565" w:type="dxa"/>
            <w:vAlign w:val="top"/>
            <w:textDirection w:val="lrTb"/>
            <w:noWrap/>
          </w:tcPr>
          <w:p>
            <w:pPr>
              <w:jc w:val="left"/>
              <w:spacing w:line="400" w:lineRule="exact"/>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tc>
        <w:tc>
          <w:tcPr>
            <w:tcW w:w="892"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938"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00"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trHeight w:val="374"/>
        </w:trPr>
        <w:tc>
          <w:tcPr>
            <w:tcW w:w="777"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90"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056"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shd w:val="clear" w:color="auto" w:fill="auto"/>
            <w:tcW w:w="1565" w:type="dxa"/>
            <w:vAlign w:val="top"/>
            <w:textDirection w:val="lrTb"/>
            <w:noWrap/>
          </w:tcPr>
          <w:p>
            <w:pPr>
              <w:jc w:val="left"/>
              <w:spacing w:line="400" w:lineRule="exact"/>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tc>
        <w:tc>
          <w:tcPr>
            <w:tcW w:w="892"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938"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00"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trHeight w:val="383"/>
        </w:trPr>
        <w:tc>
          <w:tcPr>
            <w:tcW w:w="777"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90"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056"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shd w:val="clear" w:color="auto" w:fill="auto"/>
            <w:tcW w:w="1565" w:type="dxa"/>
            <w:vAlign w:val="top"/>
            <w:textDirection w:val="lrTb"/>
            <w:noWrap/>
          </w:tcPr>
          <w:p>
            <w:pPr>
              <w:jc w:val="left"/>
              <w:spacing w:line="400" w:lineRule="exact"/>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tc>
        <w:tc>
          <w:tcPr>
            <w:tcW w:w="892"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938"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00"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bl>
    <w:p>
      <w:pPr>
        <w:numPr>
          <w:ilvl w:val="0"/>
          <w:numId w:val="2"/>
        </w:numPr>
        <w:ind w:left="-420" w:firstLine="420"/>
        <w:jc w:val="left"/>
        <w:spacing w:line="400" w:lineRule="exact"/>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合同金额</w:t>
      </w:r>
      <w:r/>
    </w:p>
    <w:p>
      <w:pPr>
        <w:ind w:left="315" w:firstLine="240"/>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本合同金额为（大写）：</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元（_______________元）人民币。</w:t>
      </w:r>
      <w:r/>
    </w:p>
    <w:p>
      <w:pPr>
        <w:numPr>
          <w:ilvl w:val="0"/>
          <w:numId w:val="2"/>
        </w:numPr>
        <w:ind w:left="-420" w:firstLine="420"/>
        <w:jc w:val="left"/>
        <w:spacing w:line="400" w:lineRule="exact"/>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技术资料</w:t>
      </w:r>
      <w:r/>
    </w:p>
    <w:p>
      <w:pPr>
        <w:ind w:left="420" w:firstLine="52"/>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乙方应向甲方提供使用货物的有关技术资料。</w:t>
      </w:r>
      <w:r/>
    </w:p>
    <w:p>
      <w:pPr>
        <w:numPr>
          <w:ilvl w:val="0"/>
          <w:numId w:val="2"/>
        </w:numPr>
        <w:ind w:left="-420" w:firstLine="420"/>
        <w:jc w:val="left"/>
        <w:spacing w:line="400" w:lineRule="exact"/>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知识产权</w:t>
      </w:r>
      <w:r/>
    </w:p>
    <w:p>
      <w:pPr>
        <w:ind w:firstLine="440"/>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乙方应保证甲方在使用、接受本合同货物和服务或其任何一部分时不受第三方提出侵犯其专利权、版权、商标权和工业设计权等知识产权的起诉。一旦出现侵权，由乙方负全部责任。</w:t>
      </w:r>
      <w:r/>
    </w:p>
    <w:p>
      <w:pPr>
        <w:numPr>
          <w:ilvl w:val="0"/>
          <w:numId w:val="2"/>
        </w:numPr>
        <w:ind w:left="-420" w:firstLine="420"/>
        <w:jc w:val="left"/>
        <w:spacing w:line="400" w:lineRule="exact"/>
        <w:rPr>
          <w:rFonts w:hint="eastAsia" w:ascii="宋体" w:hAnsi="宋体" w:eastAsia="宋体" w:cs="宋体"/>
          <w:color w:val="auto"/>
          <w:sz w:val="24"/>
          <w:szCs w:val="24"/>
          <w:highlight w:val="none"/>
          <w:u w:val="single"/>
          <w:shd w:val="clear" w:color="auto" w:fill="ffffff"/>
        </w:rPr>
      </w:pPr>
      <w:r>
        <w:rPr>
          <w:rFonts w:hint="eastAsia" w:ascii="宋体" w:hAnsi="宋体" w:eastAsia="宋体" w:cs="宋体"/>
          <w:b/>
          <w:color w:val="auto"/>
          <w:sz w:val="24"/>
          <w:szCs w:val="24"/>
          <w:highlight w:val="none"/>
          <w:shd w:val="clear" w:color="auto" w:fill="ffffff"/>
        </w:rPr>
        <w:t xml:space="preserve">产权担保</w:t>
      </w:r>
      <w:r/>
    </w:p>
    <w:p>
      <w:pPr>
        <w:ind w:left="420" w:firstLine="62"/>
        <w:jc w:val="left"/>
        <w:spacing w:line="400" w:lineRule="exact"/>
        <w:rPr>
          <w:rFonts w:hint="eastAsia" w:ascii="宋体" w:hAnsi="宋体" w:eastAsia="宋体" w:cs="宋体"/>
          <w:color w:val="auto"/>
          <w:sz w:val="24"/>
          <w:szCs w:val="24"/>
          <w:highlight w:val="none"/>
          <w:u w:val="single"/>
          <w:shd w:val="clear" w:color="auto" w:fill="ffffff"/>
        </w:rPr>
      </w:pPr>
      <w:r>
        <w:rPr>
          <w:rFonts w:hint="eastAsia" w:ascii="宋体" w:hAnsi="宋体" w:eastAsia="宋体" w:cs="宋体"/>
          <w:color w:val="auto"/>
          <w:sz w:val="24"/>
          <w:szCs w:val="24"/>
          <w:highlight w:val="none"/>
          <w:shd w:val="clear" w:color="auto" w:fill="ffffff"/>
        </w:rPr>
        <w:t xml:space="preserve">乙方保证所交付的货物的所有权完全属于乙方且无任何抵押、查封等产权瑕疵。</w:t>
      </w:r>
      <w:r/>
    </w:p>
    <w:p>
      <w:pPr>
        <w:numPr>
          <w:ilvl w:val="0"/>
          <w:numId w:val="2"/>
        </w:numPr>
        <w:ind w:left="-420" w:firstLine="420"/>
        <w:jc w:val="left"/>
        <w:spacing w:line="400" w:lineRule="exact"/>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履约保证金</w:t>
      </w:r>
      <w:r/>
    </w:p>
    <w:p>
      <w:pPr>
        <w:ind w:firstLine="513"/>
        <w:jc w:val="left"/>
        <w:spacing w:line="400" w:lineRule="exact"/>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详见磋商文件</w:t>
      </w:r>
      <w:r/>
    </w:p>
    <w:p>
      <w:pPr>
        <w:numPr>
          <w:ilvl w:val="0"/>
          <w:numId w:val="2"/>
        </w:numPr>
        <w:ind w:left="-420" w:firstLine="420"/>
        <w:jc w:val="left"/>
        <w:spacing w:line="40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转包或分包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eastAsia="zh-CN"/>
        </w:rPr>
        <w:t xml:space="preserve">1.</w:t>
      </w:r>
      <w:r>
        <w:rPr>
          <w:rFonts w:hint="eastAsia" w:ascii="宋体" w:hAnsi="宋体" w:eastAsia="宋体" w:cs="宋体"/>
          <w:color w:val="auto"/>
          <w:sz w:val="24"/>
          <w:szCs w:val="24"/>
          <w:highlight w:val="none"/>
          <w:shd w:val="clear" w:color="auto" w:fill="ffffff"/>
        </w:rPr>
        <w:t xml:space="preserve">本合同范</w:t>
      </w:r>
      <w:r>
        <w:rPr>
          <w:rFonts w:hint="eastAsia" w:ascii="宋体" w:hAnsi="宋体" w:eastAsia="宋体" w:cs="宋体"/>
          <w:color w:val="auto"/>
          <w:sz w:val="24"/>
          <w:szCs w:val="24"/>
          <w:highlight w:val="none"/>
          <w:shd w:val="clear" w:color="auto" w:fill="ffffff"/>
          <w:lang w:eastAsia="zh-CN"/>
        </w:rPr>
        <w:t xml:space="preserve">围内</w:t>
      </w:r>
      <w:r>
        <w:rPr>
          <w:rFonts w:hint="eastAsia" w:ascii="宋体" w:hAnsi="宋体" w:eastAsia="宋体" w:cs="宋体"/>
          <w:color w:val="auto"/>
          <w:sz w:val="24"/>
          <w:szCs w:val="24"/>
          <w:highlight w:val="none"/>
          <w:shd w:val="clear" w:color="auto" w:fill="ffffff"/>
        </w:rPr>
        <w:t xml:space="preserve">的货物，应由乙方直接供应，不得转让他人供应；</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eastAsia="zh-CN"/>
        </w:rPr>
        <w:t xml:space="preserve">2.</w:t>
      </w:r>
      <w:r>
        <w:rPr>
          <w:rFonts w:hint="eastAsia" w:ascii="宋体" w:hAnsi="宋体" w:eastAsia="宋体" w:cs="宋体"/>
          <w:color w:val="auto"/>
          <w:sz w:val="24"/>
          <w:szCs w:val="24"/>
          <w:highlight w:val="none"/>
          <w:shd w:val="clear" w:color="auto" w:fill="ffffff"/>
        </w:rPr>
        <w:t xml:space="preserve">除非得到甲方的书面同意，乙方不得部分分包给他人供应。</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eastAsia="zh-CN"/>
        </w:rPr>
        <w:t xml:space="preserve">3.</w:t>
      </w:r>
      <w:r>
        <w:rPr>
          <w:rFonts w:hint="eastAsia" w:ascii="宋体" w:hAnsi="宋体" w:eastAsia="宋体" w:cs="宋体"/>
          <w:color w:val="auto"/>
          <w:sz w:val="24"/>
          <w:szCs w:val="24"/>
          <w:highlight w:val="none"/>
          <w:shd w:val="clear" w:color="auto" w:fill="ffffff"/>
        </w:rPr>
        <w:t xml:space="preserve">如有转让和未经甲方同意的分包行为，甲方有权给予终止合同。</w:t>
      </w:r>
      <w:r/>
    </w:p>
    <w:p>
      <w:pPr>
        <w:numPr>
          <w:ilvl w:val="0"/>
          <w:numId w:val="2"/>
        </w:numPr>
        <w:ind w:left="-420" w:firstLine="420"/>
        <w:jc w:val="left"/>
        <w:spacing w:line="400" w:lineRule="exact"/>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交货期、交货方式及交货地点</w:t>
      </w:r>
      <w:r/>
    </w:p>
    <w:p>
      <w:pPr>
        <w:ind w:firstLine="480"/>
        <w:jc w:val="left"/>
        <w:spacing w:line="400" w:lineRule="exact"/>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详见磋商文件</w:t>
      </w:r>
      <w:r/>
    </w:p>
    <w:p>
      <w:pPr>
        <w:numPr>
          <w:ilvl w:val="0"/>
          <w:numId w:val="2"/>
        </w:numPr>
        <w:ind w:left="-420" w:firstLine="420"/>
        <w:jc w:val="left"/>
        <w:spacing w:line="400" w:lineRule="exact"/>
        <w:rPr>
          <w:rFonts w:hint="eastAsia" w:ascii="宋体" w:hAnsi="宋体" w:eastAsia="宋体" w:cs="宋体"/>
          <w:b/>
          <w:color w:val="auto"/>
          <w:sz w:val="24"/>
          <w:szCs w:val="24"/>
          <w:highlight w:val="none"/>
          <w:u w:val="single"/>
          <w:shd w:val="clear" w:color="auto" w:fill="ffffff"/>
        </w:rPr>
      </w:pPr>
      <w:r>
        <w:rPr>
          <w:rFonts w:hint="eastAsia" w:ascii="宋体" w:hAnsi="宋体" w:eastAsia="宋体" w:cs="宋体"/>
          <w:b/>
          <w:color w:val="auto"/>
          <w:sz w:val="24"/>
          <w:szCs w:val="24"/>
          <w:highlight w:val="none"/>
          <w:shd w:val="clear" w:color="auto" w:fill="ffffff"/>
        </w:rPr>
        <w:t xml:space="preserve">合同款支付</w:t>
      </w:r>
      <w:r/>
    </w:p>
    <w:p>
      <w:pPr>
        <w:ind w:firstLine="480"/>
        <w:jc w:val="left"/>
        <w:spacing w:line="400" w:lineRule="exact"/>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详见磋商文件</w:t>
      </w:r>
      <w:r/>
    </w:p>
    <w:p>
      <w:pPr>
        <w:numPr>
          <w:ilvl w:val="0"/>
          <w:numId w:val="2"/>
        </w:numPr>
        <w:ind w:left="-420" w:firstLine="420"/>
        <w:jc w:val="left"/>
        <w:spacing w:line="400" w:lineRule="exact"/>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税</w:t>
      </w:r>
      <w:r/>
    </w:p>
    <w:p>
      <w:pPr>
        <w:ind w:firstLine="480"/>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本合同执行中相关的一切税费均由乙方负担。</w:t>
      </w:r>
      <w:r/>
    </w:p>
    <w:p>
      <w:pPr>
        <w:numPr>
          <w:ilvl w:val="0"/>
          <w:numId w:val="2"/>
        </w:numPr>
        <w:ind w:left="-420" w:firstLine="420"/>
        <w:jc w:val="left"/>
        <w:spacing w:line="4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质量保证及售后服务</w:t>
      </w:r>
      <w:r/>
    </w:p>
    <w:p>
      <w:pPr>
        <w:numPr>
          <w:ilvl w:val="0"/>
          <w:numId w:val="0"/>
        </w:numPr>
        <w:ind w:firstLine="480"/>
        <w:jc w:val="left"/>
        <w:spacing w:line="400" w:lineRule="exact"/>
        <w:rPr>
          <w:rFonts w:hint="eastAsia"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详见磋商文件及响应文件（响应文件优于磋商文件的，以响应文件为准）</w:t>
      </w:r>
      <w:r/>
    </w:p>
    <w:p>
      <w:pPr>
        <w:numPr>
          <w:ilvl w:val="0"/>
          <w:numId w:val="2"/>
        </w:numPr>
        <w:ind w:left="-420" w:firstLine="420"/>
        <w:jc w:val="left"/>
        <w:spacing w:line="400" w:lineRule="exact"/>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验收</w:t>
      </w:r>
      <w:r/>
    </w:p>
    <w:p>
      <w:pPr>
        <w:numPr>
          <w:ilvl w:val="0"/>
          <w:numId w:val="0"/>
        </w:numPr>
        <w:ind w:firstLine="480"/>
        <w:jc w:val="left"/>
        <w:spacing w:line="400" w:lineRule="exact"/>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详见磋商文件及响应文件（响应文件优于磋商文件的，以响应文件为准）</w:t>
      </w:r>
      <w:r/>
    </w:p>
    <w:p>
      <w:pPr>
        <w:numPr>
          <w:ilvl w:val="0"/>
          <w:numId w:val="2"/>
        </w:numPr>
        <w:ind w:left="-420" w:firstLine="420"/>
        <w:jc w:val="left"/>
        <w:spacing w:line="400" w:lineRule="exact"/>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货物包装、发运及运输</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eastAsia="zh-CN"/>
        </w:rPr>
        <w:t xml:space="preserve">1.</w:t>
      </w:r>
      <w:r>
        <w:rPr>
          <w:rFonts w:hint="eastAsia" w:ascii="宋体" w:hAnsi="宋体" w:eastAsia="宋体" w:cs="宋体"/>
          <w:color w:val="auto"/>
          <w:sz w:val="24"/>
          <w:szCs w:val="24"/>
          <w:highlight w:val="none"/>
          <w:shd w:val="clear" w:color="auto" w:fill="ffffff"/>
        </w:rPr>
        <w:t xml:space="preserve">乙方应在货物发运前对其进行满足运输距离、防潮、防震、防锈和防破损装卸等要求包装，以保证货物安全运达甲方指定地点。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eastAsia="zh-CN"/>
        </w:rPr>
        <w:t xml:space="preserve">2.</w:t>
      </w:r>
      <w:r>
        <w:rPr>
          <w:rFonts w:hint="eastAsia" w:ascii="宋体" w:hAnsi="宋体" w:eastAsia="宋体" w:cs="宋体"/>
          <w:color w:val="auto"/>
          <w:sz w:val="24"/>
          <w:szCs w:val="24"/>
          <w:highlight w:val="none"/>
          <w:shd w:val="clear" w:color="auto" w:fill="ffffff"/>
        </w:rPr>
        <w:t xml:space="preserve">使用说明书、质量检验证明书、随配附件和工具以及清单一并附于货物内。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eastAsia="zh-CN"/>
        </w:rPr>
        <w:t xml:space="preserve">3.</w:t>
      </w:r>
      <w:r>
        <w:rPr>
          <w:rFonts w:hint="eastAsia" w:ascii="宋体" w:hAnsi="宋体" w:eastAsia="宋体" w:cs="宋体"/>
          <w:color w:val="auto"/>
          <w:sz w:val="24"/>
          <w:szCs w:val="24"/>
          <w:highlight w:val="none"/>
          <w:shd w:val="clear" w:color="auto" w:fill="ffffff"/>
        </w:rPr>
        <w:t xml:space="preserve">乙方在货物发运手续办理完毕后24小时内或货到甲方48小时前通知甲方，以准备接货。</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eastAsia="zh-CN"/>
        </w:rPr>
        <w:t xml:space="preserve">4.</w:t>
      </w:r>
      <w:r>
        <w:rPr>
          <w:rFonts w:hint="eastAsia" w:ascii="宋体" w:hAnsi="宋体" w:eastAsia="宋体" w:cs="宋体"/>
          <w:color w:val="auto"/>
          <w:sz w:val="24"/>
          <w:szCs w:val="24"/>
          <w:highlight w:val="none"/>
          <w:shd w:val="clear" w:color="auto" w:fill="ffffff"/>
        </w:rPr>
        <w:t xml:space="preserve">货物在交付甲方前发生的风险均由乙方负责。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eastAsia="zh-CN"/>
        </w:rPr>
        <w:t xml:space="preserve">5.</w:t>
      </w:r>
      <w:r>
        <w:rPr>
          <w:rFonts w:hint="eastAsia" w:ascii="宋体" w:hAnsi="宋体" w:eastAsia="宋体" w:cs="宋体"/>
          <w:color w:val="auto"/>
          <w:sz w:val="24"/>
          <w:szCs w:val="24"/>
          <w:highlight w:val="none"/>
          <w:shd w:val="clear" w:color="auto" w:fill="ffffff"/>
        </w:rPr>
        <w:t xml:space="preserve">货物在规定的交付期限内由乙方送达甲方指定的地点视为交付，乙方同时需通知甲方货物已送达。</w:t>
      </w:r>
      <w:r/>
    </w:p>
    <w:p>
      <w:pPr>
        <w:numPr>
          <w:ilvl w:val="0"/>
          <w:numId w:val="2"/>
        </w:numPr>
        <w:ind w:left="-420" w:firstLine="420"/>
        <w:jc w:val="left"/>
        <w:spacing w:line="400" w:lineRule="exact"/>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1.</w:t>
      </w:r>
      <w:r>
        <w:rPr>
          <w:rFonts w:hint="eastAsia" w:ascii="宋体" w:hAnsi="宋体" w:eastAsia="宋体" w:cs="宋体"/>
          <w:color w:val="auto"/>
          <w:sz w:val="24"/>
          <w:szCs w:val="24"/>
          <w:highlight w:val="none"/>
          <w:shd w:val="clear" w:color="auto" w:fill="ffffff"/>
        </w:rPr>
        <w:t xml:space="preserve">乙方逾期交付货物的，乙方应按逾期交货总额每日千分之五向甲方支付违约金，由甲方从待付货款中扣除。逾期超过约定日期10个工作日不能交货的，甲方可解除本合同。乙方因逾期交货或因其他违约行为导致甲方解除合同的，其履约保证金不予退还，如造成甲方损失超过履约保证金的，超出部分由乙方继续承担赔偿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乙方所交的货物品种、型号、规格、技术参数、质量不符合合同规定及</w:t>
      </w:r>
      <w:r>
        <w:rPr>
          <w:rFonts w:hint="eastAsia" w:ascii="宋体" w:hAnsi="宋体" w:eastAsia="宋体" w:cs="宋体"/>
          <w:color w:val="auto"/>
          <w:sz w:val="24"/>
          <w:szCs w:val="24"/>
          <w:highlight w:val="none"/>
          <w:shd w:val="clear" w:color="auto" w:fill="ffffff"/>
          <w:lang w:val="en-US" w:eastAsia="zh-CN"/>
        </w:rPr>
        <w:t xml:space="preserve">磋商文件</w:t>
      </w:r>
      <w:r>
        <w:rPr>
          <w:rFonts w:hint="eastAsia" w:ascii="宋体" w:hAnsi="宋体" w:eastAsia="宋体" w:cs="宋体"/>
          <w:color w:val="auto"/>
          <w:sz w:val="24"/>
          <w:szCs w:val="24"/>
          <w:highlight w:val="none"/>
          <w:shd w:val="clear" w:color="auto" w:fill="ffffff"/>
        </w:rPr>
        <w:t xml:space="preserve">规定标准的，甲方有权拒收该货物，乙方愿意更换货物但逾期交货的，按乙方逾期交货处理。乙方拒绝更换货物的，甲方可单方面解除合同。</w:t>
      </w:r>
      <w:r/>
    </w:p>
    <w:p>
      <w:pPr>
        <w:numPr>
          <w:ilvl w:val="0"/>
          <w:numId w:val="2"/>
        </w:numPr>
        <w:ind w:left="-420" w:firstLine="420"/>
        <w:jc w:val="left"/>
        <w:spacing w:line="400" w:lineRule="exact"/>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不可抗力事件处理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1.在合同有效期内，任何一方因不可抗力事件导致不能履行合同，则合同履行期可延长，其延长期与不可抗力影响期相同。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2.不可抗力事件发生后，应立即通知对方，并寄送有关权威机构出具的证明。</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3.不可抗力事件延续120天以上，双方应通过友好协商，确定是否继续履行合同。</w:t>
      </w:r>
      <w:r/>
    </w:p>
    <w:p>
      <w:pPr>
        <w:numPr>
          <w:ilvl w:val="0"/>
          <w:numId w:val="2"/>
        </w:numPr>
        <w:ind w:left="-420" w:firstLine="420"/>
        <w:jc w:val="left"/>
        <w:spacing w:line="400" w:lineRule="exact"/>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诉讼</w:t>
      </w:r>
      <w:r/>
    </w:p>
    <w:p>
      <w:pPr>
        <w:ind w:firstLine="330"/>
        <w:jc w:val="left"/>
        <w:spacing w:line="400" w:lineRule="exact"/>
        <w:rPr>
          <w:rFonts w:hint="eastAsia"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双方在执行合同中所发生的一切争议，应通过协商解决。如协商不成，可向合同签订地法院起诉，合同签订地在此约定为泰州市。</w:t>
      </w:r>
      <w:r/>
    </w:p>
    <w:p>
      <w:pPr>
        <w:numPr>
          <w:ilvl w:val="0"/>
          <w:numId w:val="2"/>
        </w:numPr>
        <w:ind w:left="-420" w:firstLine="420"/>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组成本合同的文件包括：</w:t>
      </w:r>
      <w:r/>
    </w:p>
    <w:p>
      <w:pPr>
        <w:numPr>
          <w:ilvl w:val="0"/>
          <w:numId w:val="3"/>
        </w:numPr>
        <w:ind w:left="845" w:hanging="425"/>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w:t>
      </w:r>
      <w:r>
        <w:rPr>
          <w:rFonts w:hint="eastAsia" w:ascii="宋体" w:hAnsi="宋体" w:eastAsia="宋体" w:cs="宋体"/>
          <w:color w:val="auto"/>
          <w:sz w:val="24"/>
          <w:szCs w:val="24"/>
          <w:highlight w:val="none"/>
          <w:lang w:val="en-US" w:eastAsia="zh-CN"/>
        </w:rPr>
        <w:t xml:space="preserve">磋商文件</w:t>
      </w:r>
      <w:r/>
    </w:p>
    <w:p>
      <w:pPr>
        <w:numPr>
          <w:ilvl w:val="0"/>
          <w:numId w:val="3"/>
        </w:numPr>
        <w:ind w:left="845" w:hanging="425"/>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w:t>
      </w:r>
      <w:r>
        <w:rPr>
          <w:rFonts w:hint="eastAsia" w:ascii="宋体" w:hAnsi="宋体" w:eastAsia="宋体" w:cs="宋体"/>
          <w:color w:val="auto"/>
          <w:sz w:val="24"/>
          <w:szCs w:val="24"/>
          <w:highlight w:val="none"/>
          <w:lang w:val="en-US" w:eastAsia="zh-CN"/>
        </w:rPr>
        <w:t xml:space="preserve">响应文件</w:t>
      </w:r>
      <w:r/>
    </w:p>
    <w:p>
      <w:pPr>
        <w:numPr>
          <w:ilvl w:val="0"/>
          <w:numId w:val="3"/>
        </w:numPr>
        <w:ind w:left="845" w:hanging="425"/>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承诺/服务承诺</w:t>
      </w:r>
      <w:r/>
    </w:p>
    <w:p>
      <w:pPr>
        <w:numPr>
          <w:ilvl w:val="0"/>
          <w:numId w:val="3"/>
        </w:numPr>
        <w:ind w:left="845" w:hanging="425"/>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通知书</w:t>
      </w:r>
      <w:r/>
    </w:p>
    <w:p>
      <w:pPr>
        <w:numPr>
          <w:ilvl w:val="0"/>
          <w:numId w:val="3"/>
        </w:numPr>
        <w:ind w:left="845" w:hanging="425"/>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甲乙双方商定的其他文件等</w:t>
      </w:r>
      <w:r/>
    </w:p>
    <w:p>
      <w:pPr>
        <w:numPr>
          <w:ilvl w:val="0"/>
          <w:numId w:val="2"/>
        </w:numPr>
        <w:ind w:left="-420" w:firstLine="420"/>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合同生效及其他</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本合同自签订之日起生效。</w:t>
      </w:r>
      <w:r/>
    </w:p>
    <w:p>
      <w:pPr>
        <w:ind w:firstLine="480"/>
        <w:keepLines w:val="0"/>
        <w:keepNext w:val="0"/>
        <w:pageBreakBefore w:val="0"/>
        <w:spacing w:line="400" w:lineRule="exact"/>
        <w:shd w:val="clear" w:color="auto" w:fill="ffffff"/>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本合同未尽事宜，双方可另签补充协议，补充协议具有同等法律效力。</w:t>
      </w:r>
      <w:r/>
    </w:p>
    <w:p>
      <w:pPr>
        <w:ind w:firstLine="480"/>
        <w:keepLines w:val="0"/>
        <w:keepNext w:val="0"/>
        <w:pageBreakBefore w:val="0"/>
        <w:spacing w:line="400" w:lineRule="exact"/>
        <w:shd w:val="clear" w:color="auto" w:fill="ffffff"/>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份，具有同等法律效力，甲方、乙方各执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采购代理机构贰份。</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甲方</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乙方</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（公章或合同专用章）                   （公章或合同专用章）</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法定代表人（授权代表）签字：            法定代表人（授权代表）签字：  </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签订日期：                              签订日期：                 </w:t>
      </w:r>
      <w:r>
        <w:rPr>
          <w:rFonts w:hint="eastAsia" w:ascii="宋体" w:hAnsi="宋体" w:eastAsia="宋体" w:cs="宋体"/>
          <w:color w:val="auto"/>
          <w:sz w:val="24"/>
          <w:szCs w:val="24"/>
          <w:highlight w:val="none"/>
          <w:lang w:val="zh-CN"/>
        </w:rPr>
        <w:tab/>
      </w:r>
      <w:r>
        <w:rPr>
          <w:rFonts w:hint="eastAsia" w:ascii="宋体" w:hAnsi="宋体" w:eastAsia="宋体" w:cs="宋体"/>
          <w:color w:val="auto"/>
          <w:sz w:val="24"/>
          <w:szCs w:val="24"/>
          <w:highlight w:val="none"/>
          <w:lang w:val="zh-CN"/>
        </w:rPr>
        <w:tab/>
      </w:r>
      <w:r/>
    </w:p>
    <w:p>
      <w:pPr>
        <w:ind w:firstLine="480"/>
        <w:keepLines w:val="0"/>
        <w:keepNext w:val="0"/>
        <w:pageBreakBefore w:val="0"/>
        <w:spacing w:line="40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spacing w:line="360" w:lineRule="auto"/>
        <w:rPr>
          <w:rFonts w:hint="eastAsia" w:ascii="Times New Roman" w:hAnsi="Times New Roman" w:eastAsia="黑体" w:cstheme="minorBidi"/>
          <w:b/>
          <w:bCs/>
          <w:color w:val="auto"/>
          <w:spacing w:val="0"/>
          <w:sz w:val="21"/>
          <w:szCs w:val="21"/>
          <w:highlight w:val="none"/>
          <w:lang w:val="en-US" w:eastAsia="zh-CN" w:bidi="ar-SA"/>
        </w:rPr>
        <w:sectPr>
          <w:footerReference w:type="default" r:id="rId10"/>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b/>
          <w:color w:val="auto"/>
          <w:spacing w:val="0"/>
          <w:sz w:val="21"/>
          <w:szCs w:val="21"/>
          <w:highlight w:val="none"/>
        </w:rPr>
        <w:br w:type="page" w:clear="all"/>
      </w:r>
      <w:r/>
    </w:p>
    <w:p>
      <w:pPr>
        <w:pStyle w:val="1044"/>
        <w:jc w:val="center"/>
        <w:keepNext w:val="0"/>
        <w:rPr>
          <w:rFonts w:hint="eastAsia" w:ascii="宋体" w:hAnsi="宋体" w:eastAsia="宋体" w:cs="宋体"/>
          <w:b/>
          <w:bCs/>
          <w:color w:val="auto"/>
          <w:sz w:val="32"/>
          <w:szCs w:val="32"/>
          <w:highlight w:val="none"/>
        </w:rPr>
      </w:pPr>
      <w:r/>
      <w:bookmarkStart w:id="107" w:name="_Toc22763"/>
      <w:r>
        <w:rPr>
          <w:rFonts w:hint="eastAsia" w:ascii="宋体" w:hAnsi="宋体" w:eastAsia="宋体" w:cs="宋体"/>
          <w:b/>
          <w:bCs/>
          <w:color w:val="auto"/>
          <w:sz w:val="32"/>
          <w:szCs w:val="32"/>
          <w:highlight w:val="none"/>
        </w:rPr>
        <w:t xml:space="preserve">第四章  项目需求</w:t>
      </w:r>
      <w:bookmarkEnd w:id="107"/>
      <w:r/>
      <w:r/>
    </w:p>
    <w:p>
      <w:pPr>
        <w:pStyle w:val="1075"/>
        <w:ind w:firstLine="42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一、项目概况</w:t>
      </w:r>
      <w:r/>
    </w:p>
    <w:p>
      <w:pPr>
        <w:pStyle w:val="851"/>
        <w:ind w:left="0" w:right="0" w:firstLine="480"/>
        <w:jc w:val="both"/>
        <w:keepLines w:val="0"/>
        <w:keepNext w:val="0"/>
        <w:pageBreakBefore w:val="0"/>
        <w:spacing w:before="0" w:beforeAutospacing="0" w:after="0" w:afterAutospacing="0" w:line="360" w:lineRule="auto"/>
        <w:widowControl w:val="off"/>
        <w:rPr>
          <w:rFonts w:hint="eastAsia"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为全面提升公安机关侦查破案能力，更好地打击新型犯罪，泰州市公安局拟建设反诈骗和新型犯罪侦查中心，中心通过整合信息和数据资源，把分散在各部门的力量融合起来，形成快速反应、专业研判、协同作战的中枢系统。本项目为反诈骗和新型犯罪侦查中心一体化专用操控调度工程。</w:t>
      </w:r>
      <w:r>
        <w:rPr>
          <w:rFonts w:hint="eastAsia" w:eastAsia="宋体" w:cs="宋体"/>
          <w:color w:val="auto"/>
          <w:sz w:val="24"/>
          <w:szCs w:val="24"/>
          <w:highlight w:val="none"/>
          <w:lang w:val="en-US" w:eastAsia="zh-CN" w:bidi="ar-SA"/>
        </w:rPr>
        <w:t xml:space="preserve">具体清单详见</w:t>
      </w:r>
      <w:r>
        <w:rPr>
          <w:rFonts w:hint="eastAsia" w:cs="宋体"/>
          <w:color w:val="auto"/>
          <w:sz w:val="24"/>
          <w:szCs w:val="24"/>
          <w:highlight w:val="none"/>
          <w:lang w:val="en-US" w:eastAsia="zh-CN" w:bidi="ar-SA"/>
        </w:rPr>
        <w:t xml:space="preserve">最高限价清单</w:t>
      </w:r>
      <w:r>
        <w:rPr>
          <w:rFonts w:hint="eastAsia" w:eastAsia="宋体" w:cs="宋体"/>
          <w:color w:val="auto"/>
          <w:sz w:val="24"/>
          <w:szCs w:val="24"/>
          <w:highlight w:val="none"/>
          <w:lang w:val="en-US" w:eastAsia="zh-CN" w:bidi="ar-SA"/>
        </w:rPr>
        <w:t xml:space="preserve">。</w:t>
      </w:r>
      <w:r/>
    </w:p>
    <w:p>
      <w:pPr>
        <w:pStyle w:val="1075"/>
        <w:ind w:firstLine="42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商务要求</w:t>
      </w:r>
      <w:r/>
    </w:p>
    <w:p>
      <w:pPr>
        <w:pStyle w:val="1075"/>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.合同履行期限：合同签署后，</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日内完成供货和安装。</w:t>
      </w:r>
      <w:r/>
    </w:p>
    <w:p>
      <w:pPr>
        <w:pStyle w:val="1075"/>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.合同形式：固定</w:t>
      </w:r>
      <w:r>
        <w:rPr>
          <w:rFonts w:hint="eastAsia" w:ascii="宋体" w:hAnsi="宋体" w:eastAsia="宋体" w:cs="宋体"/>
          <w:color w:val="auto"/>
          <w:sz w:val="24"/>
          <w:szCs w:val="24"/>
          <w:highlight w:val="none"/>
          <w:lang w:val="en-US" w:eastAsia="zh-CN"/>
        </w:rPr>
        <w:t xml:space="preserve">单</w:t>
      </w:r>
      <w:r>
        <w:rPr>
          <w:rFonts w:hint="eastAsia" w:ascii="宋体" w:hAnsi="宋体" w:eastAsia="宋体" w:cs="宋体"/>
          <w:color w:val="auto"/>
          <w:sz w:val="24"/>
          <w:szCs w:val="24"/>
          <w:highlight w:val="none"/>
        </w:rPr>
        <w:t xml:space="preserve">价合同。</w:t>
      </w:r>
      <w:r/>
    </w:p>
    <w:p>
      <w:pPr>
        <w:ind w:left="0" w:firstLine="420"/>
        <w:pageBreakBefore w:val="0"/>
        <w:spacing w:line="360" w:lineRule="auto"/>
        <w:widowControl w:val="off"/>
        <w:rPr>
          <w:rFonts w:hint="eastAsia" w:ascii="宋体" w:hAnsi="宋体" w:eastAsia="宋体" w:cs="宋体"/>
          <w:color w:val="auto"/>
          <w:spacing w:val="15"/>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.付款方式：</w:t>
      </w:r>
      <w:r>
        <w:rPr>
          <w:rFonts w:hint="eastAsia" w:ascii="宋体" w:hAnsi="宋体" w:eastAsia="宋体" w:cs="宋体"/>
          <w:color w:val="auto"/>
          <w:sz w:val="24"/>
          <w:szCs w:val="24"/>
          <w:highlight w:val="none"/>
          <w:lang w:val="en-US" w:eastAsia="zh-CN"/>
        </w:rPr>
        <w:t xml:space="preserve">合同签订后支付合同价的30%，</w:t>
      </w:r>
      <w:r>
        <w:rPr>
          <w:rFonts w:hint="eastAsia" w:ascii="宋体" w:hAnsi="宋体" w:eastAsia="宋体" w:cs="宋体"/>
          <w:color w:val="auto"/>
          <w:sz w:val="24"/>
          <w:szCs w:val="24"/>
          <w:highlight w:val="none"/>
        </w:rPr>
        <w:t xml:space="preserve">货到安装</w:t>
      </w:r>
      <w:r>
        <w:rPr>
          <w:rFonts w:hint="eastAsia" w:ascii="宋体" w:hAnsi="宋体" w:eastAsia="宋体" w:cs="宋体"/>
          <w:color w:val="auto"/>
          <w:sz w:val="24"/>
          <w:szCs w:val="24"/>
          <w:highlight w:val="none"/>
          <w:lang w:val="en-US" w:eastAsia="zh-CN"/>
        </w:rPr>
        <w:t xml:space="preserve">完成</w:t>
      </w:r>
      <w:r>
        <w:rPr>
          <w:rFonts w:hint="eastAsia" w:ascii="宋体" w:hAnsi="宋体" w:eastAsia="宋体" w:cs="宋体"/>
          <w:color w:val="auto"/>
          <w:sz w:val="24"/>
          <w:szCs w:val="24"/>
          <w:highlight w:val="none"/>
        </w:rPr>
        <w:t xml:space="preserve">验收合格后</w:t>
      </w:r>
      <w:r>
        <w:rPr>
          <w:rFonts w:hint="eastAsia" w:ascii="宋体" w:hAnsi="宋体" w:eastAsia="宋体" w:cs="宋体"/>
          <w:color w:val="auto"/>
          <w:sz w:val="24"/>
          <w:szCs w:val="24"/>
          <w:highlight w:val="none"/>
          <w:lang w:val="en-US" w:eastAsia="zh-CN"/>
        </w:rPr>
        <w:t xml:space="preserve">付至合同价的80%，竣工结算核对并双方确认签字后结清余款（扣除相关违约金、赔偿费用等）。</w:t>
      </w:r>
      <w:r/>
    </w:p>
    <w:p>
      <w:pPr>
        <w:ind w:firstLine="480"/>
        <w:keepLines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4.履约保证金：</w:t>
      </w:r>
      <w:r/>
    </w:p>
    <w:p>
      <w:pPr>
        <w:ind w:firstLine="480"/>
        <w:keepLines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4.1签订合同前，成交供应商应按竞争性磋商文件规定向采购人提交履约保证金。</w:t>
      </w:r>
      <w:r/>
    </w:p>
    <w:p>
      <w:pPr>
        <w:ind w:firstLine="480"/>
        <w:keepLines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4.2签订合同后，如成交供应商不按合同履行约定的，则其全部履约保证金不予退还，履约保证金不足以赔偿损失的，按实际损失赔偿。</w:t>
      </w:r>
      <w:r/>
    </w:p>
    <w:p>
      <w:pPr>
        <w:ind w:firstLine="480"/>
        <w:keepLines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4.3履约保证金金额：成交金额的10%；</w:t>
      </w:r>
      <w:r/>
    </w:p>
    <w:p>
      <w:pPr>
        <w:ind w:firstLine="480"/>
        <w:keepLines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履约保证金的递交：签订合同时递交，采用支票、汇票、本票或者金融机构、担保机构出具的保函、保证保险等非现金形式；</w:t>
      </w:r>
      <w:r/>
    </w:p>
    <w:p>
      <w:pPr>
        <w:ind w:firstLine="480"/>
        <w:keepLines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履约保证金退还时间：履约保证金</w:t>
      </w:r>
      <w:r>
        <w:rPr>
          <w:rFonts w:hint="eastAsia" w:ascii="宋体" w:hAnsi="宋体" w:cs="宋体"/>
          <w:color w:val="auto"/>
          <w:sz w:val="24"/>
          <w:szCs w:val="24"/>
          <w:highlight w:val="none"/>
          <w:lang w:val="en-US" w:eastAsia="zh-CN" w:bidi="ar-SA"/>
        </w:rPr>
        <w:t xml:space="preserve">项目验收合格</w:t>
      </w:r>
      <w:r>
        <w:rPr>
          <w:rFonts w:hint="eastAsia" w:ascii="宋体" w:hAnsi="宋体" w:eastAsia="宋体" w:cs="宋体"/>
          <w:color w:val="auto"/>
          <w:sz w:val="24"/>
          <w:szCs w:val="24"/>
          <w:highlight w:val="none"/>
          <w:lang w:val="en-US" w:eastAsia="zh-CN" w:bidi="ar-SA"/>
        </w:rPr>
        <w:t xml:space="preserve">扣除成交供应商违约金罚金等费用后，无息返还剩余的履约保证金。</w:t>
      </w:r>
      <w:r/>
    </w:p>
    <w:p>
      <w:pPr>
        <w:ind w:firstLine="480"/>
        <w:keepLines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如采用电子履约保函，则相关要求执行市财政局 国家金融监督管理总局泰州监管分局 市地方金融监督管理局转发《江苏省财政厅 国家金融监督管理总局江苏监管局 江苏省地方金融监督</w:t>
      </w:r>
      <w:r>
        <w:rPr>
          <w:rFonts w:hint="eastAsia" w:ascii="宋体" w:hAnsi="宋体" w:eastAsia="宋体" w:cs="宋体"/>
          <w:color w:val="auto"/>
          <w:sz w:val="24"/>
          <w:szCs w:val="24"/>
          <w:highlight w:val="none"/>
          <w:lang w:val="en-US" w:eastAsia="zh-CN" w:bidi="ar-SA"/>
        </w:rPr>
        <w:t xml:space="preserve">管理局关于在全省政府采购领域推行电子履约保函（保险）的通知》。</w:t>
      </w:r>
      <w:r/>
    </w:p>
    <w:p>
      <w:pPr>
        <w:ind w:firstLine="480"/>
        <w:keepLines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报价要求：此次报价应综合考量供应商提供全部货物及其安装所需的辅材、备品、备件、专用工具、包装、运输、吊装、安装、损耗、调试、培训、检测、验收、人工、机械、仓储、保险、劳保、各种税费、专利技术、技术支持与培训、质保、售后服务与维护及相关劳务支出等所发生的全部费用以及供应商企业利润和政策性文件规定及合同包含的所有风险、责任等各项应有费用以及供应商认为应纳入的其它一切费用。供应商报价如有漏项或少计，视为对采购人的优惠。</w:t>
      </w:r>
      <w:r/>
    </w:p>
    <w:p>
      <w:pPr>
        <w:pStyle w:val="1075"/>
        <w:ind w:firstLine="422"/>
        <w:keepLines w:val="0"/>
        <w:keepNext w:val="0"/>
        <w:pageBreakBefore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三、技术要求</w:t>
      </w:r>
      <w:r/>
    </w:p>
    <w:p>
      <w:pPr>
        <w:ind w:firstLine="480"/>
        <w:keepLines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供应商应保证所供货物的安全性、可靠性、先进性、经济性和实用性，并为全新、未使用过的原装合格正品，完全符合采购文件规定的质量、规格和性能的要求，所有货物的生产、制造、安装等，各项技术标准应当符合国家标准和各项规范要求；国家没有相应标准、规范的，可</w:t>
      </w:r>
      <w:r>
        <w:rPr>
          <w:rFonts w:hint="eastAsia" w:ascii="宋体" w:hAnsi="宋体" w:cs="宋体"/>
          <w:color w:val="auto"/>
          <w:sz w:val="24"/>
          <w:szCs w:val="24"/>
          <w:highlight w:val="none"/>
          <w:lang w:val="en-US" w:eastAsia="zh-CN" w:bidi="ar-SA"/>
        </w:rPr>
        <w:t xml:space="preserve">适用</w:t>
      </w:r>
      <w:r>
        <w:rPr>
          <w:rFonts w:hint="eastAsia" w:ascii="宋体" w:hAnsi="宋体" w:eastAsia="宋体" w:cs="宋体"/>
          <w:color w:val="auto"/>
          <w:sz w:val="24"/>
          <w:szCs w:val="24"/>
          <w:highlight w:val="none"/>
          <w:lang w:val="en-US" w:eastAsia="zh-CN" w:bidi="ar-SA"/>
        </w:rPr>
        <w:t xml:space="preserve">行业标准、规定；且应符合采购约定的技术要求和规范。保证能通过采购人的质量验收、竣工验收等各类验收。</w:t>
      </w:r>
      <w:r/>
    </w:p>
    <w:p>
      <w:pPr>
        <w:ind w:firstLine="480"/>
        <w:keepLines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供应商应保证采购人在使用其所供货物时不受第三方提出侵犯其专利权、著作权和工业产权等知识产权的起诉。一旦出现侵权，一律由投标供应商承担全部责任。同时，投标供应商对采购人采购的货物所涉及的技术、产能等信息负有保密义务。</w:t>
      </w:r>
      <w:r/>
    </w:p>
    <w:p>
      <w:pPr>
        <w:ind w:firstLine="480"/>
        <w:keepLines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供应商中标后须与采购人在投标产品的“功能配置、技术要求等”方面及时进行技术交流，与采购人进行技术确认；成交供应商开始制造产品之前，采购人有权要求成交供应商对产品进行微调，最终的产品须经采购人确认同意。</w:t>
      </w:r>
      <w:r/>
    </w:p>
    <w:p>
      <w:pPr>
        <w:ind w:firstLine="480"/>
        <w:keepLines w:val="0"/>
        <w:pageBreakBefore w:val="0"/>
        <w:spacing w:line="360" w:lineRule="auto"/>
        <w:rPr>
          <w:rFonts w:hint="eastAsia" w:ascii="宋体" w:hAnsi="宋体" w:cs="宋体"/>
          <w:sz w:val="24"/>
          <w:highlight w:val="none"/>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cs="宋体"/>
          <w:color w:val="auto"/>
          <w:sz w:val="24"/>
          <w:szCs w:val="24"/>
          <w:highlight w:val="none"/>
          <w:lang w:val="en-US" w:eastAsia="zh-CN" w:bidi="ar-SA"/>
        </w:rPr>
        <w:t xml:space="preserve">采购文件中控制台尺寸为初步设计尺寸，投标供应商中标后须</w:t>
      </w:r>
      <w:r>
        <w:rPr>
          <w:rFonts w:hint="eastAsia" w:ascii="宋体" w:hAnsi="宋体" w:cs="宋体"/>
          <w:sz w:val="24"/>
          <w:highlight w:val="none"/>
        </w:rPr>
        <w:t xml:space="preserve">复核现场实际尺寸，</w:t>
      </w:r>
      <w:r>
        <w:rPr>
          <w:rFonts w:hint="eastAsia" w:ascii="宋体" w:hAnsi="宋体" w:cs="宋体"/>
          <w:color w:val="auto"/>
          <w:sz w:val="24"/>
          <w:szCs w:val="24"/>
          <w:highlight w:val="none"/>
          <w:lang w:val="en-US" w:eastAsia="zh-CN" w:bidi="ar-SA"/>
        </w:rPr>
        <w:t xml:space="preserve">进行深化设计，</w:t>
      </w:r>
      <w:r>
        <w:rPr>
          <w:rFonts w:hint="eastAsia" w:ascii="宋体" w:hAnsi="宋体" w:cs="宋体"/>
          <w:sz w:val="24"/>
          <w:highlight w:val="none"/>
        </w:rPr>
        <w:t xml:space="preserve">深化设计方案须通过采购人确认。所涉及的相关费用</w:t>
      </w:r>
      <w:r>
        <w:rPr>
          <w:rFonts w:hint="eastAsia" w:ascii="宋体" w:hAnsi="宋体" w:cs="宋体"/>
          <w:sz w:val="24"/>
          <w:highlight w:val="none"/>
          <w:lang w:eastAsia="zh-CN"/>
        </w:rPr>
        <w:t xml:space="preserve">投标供应商</w:t>
      </w:r>
      <w:r>
        <w:rPr>
          <w:rFonts w:hint="eastAsia" w:ascii="宋体" w:hAnsi="宋体" w:cs="宋体"/>
          <w:sz w:val="24"/>
          <w:highlight w:val="none"/>
        </w:rPr>
        <w:t xml:space="preserve">在投标总报价中综合考虑，采购人不再另</w:t>
      </w:r>
      <w:r>
        <w:rPr>
          <w:rFonts w:hint="eastAsia" w:ascii="宋体" w:hAnsi="宋体" w:cs="宋体"/>
          <w:sz w:val="24"/>
          <w:highlight w:val="none"/>
          <w:lang w:val="en-US" w:eastAsia="zh-CN"/>
        </w:rPr>
        <w:t xml:space="preserve">行</w:t>
      </w:r>
      <w:r>
        <w:rPr>
          <w:rFonts w:hint="eastAsia" w:ascii="宋体" w:hAnsi="宋体" w:cs="宋体"/>
          <w:sz w:val="24"/>
          <w:highlight w:val="none"/>
        </w:rPr>
        <w:t xml:space="preserve">支付，深化设计后的方案经采购人确认后，方可实施，</w:t>
      </w:r>
      <w:r>
        <w:rPr>
          <w:rFonts w:hint="eastAsia" w:ascii="宋体" w:hAnsi="宋体" w:cs="宋体"/>
          <w:sz w:val="24"/>
          <w:highlight w:val="none"/>
          <w:lang w:val="en-US" w:eastAsia="zh-CN"/>
        </w:rPr>
        <w:t xml:space="preserve">成交供应商</w:t>
      </w:r>
      <w:r>
        <w:rPr>
          <w:rFonts w:hint="eastAsia" w:ascii="宋体" w:hAnsi="宋体" w:cs="宋体"/>
          <w:sz w:val="24"/>
          <w:highlight w:val="none"/>
        </w:rPr>
        <w:t xml:space="preserve">按照最终确定的方案进行施工，合同总价不因此而调整。</w:t>
      </w:r>
      <w:r/>
    </w:p>
    <w:p>
      <w:pPr>
        <w:ind w:firstLine="480"/>
        <w:keepLines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布局及产品颜色由成交供应商与采购人确认，成交供应商不得擅自作出修改和变更。</w:t>
      </w:r>
      <w:r/>
    </w:p>
    <w:p>
      <w:pPr>
        <w:ind w:firstLine="480"/>
        <w:keepLines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6.成交供应商中标后签订合同前须提供由</w:t>
      </w:r>
      <w:r>
        <w:rPr>
          <w:rFonts w:hint="eastAsia" w:ascii="宋体" w:hAnsi="宋体" w:eastAsia="宋体" w:cs="宋体"/>
          <w:color w:val="auto"/>
          <w:sz w:val="24"/>
          <w:szCs w:val="24"/>
          <w:highlight w:val="none"/>
          <w:lang w:eastAsia="zh-CN"/>
        </w:rPr>
        <w:t xml:space="preserve">国家认可的检测机构</w:t>
      </w:r>
      <w:r>
        <w:rPr>
          <w:rFonts w:hint="eastAsia" w:ascii="宋体" w:hAnsi="宋体" w:eastAsia="宋体" w:cs="宋体"/>
          <w:color w:val="auto"/>
          <w:sz w:val="24"/>
          <w:szCs w:val="24"/>
          <w:highlight w:val="none"/>
        </w:rPr>
        <w:t xml:space="preserve">出具</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检测报告复印件，</w:t>
      </w:r>
      <w:r>
        <w:rPr>
          <w:rFonts w:hint="eastAsia" w:ascii="宋体" w:hAnsi="宋体" w:eastAsia="宋体" w:cs="宋体"/>
          <w:color w:val="auto"/>
          <w:sz w:val="24"/>
          <w:szCs w:val="24"/>
          <w:highlight w:val="none"/>
        </w:rPr>
        <w:t xml:space="preserve">检测报告</w:t>
      </w:r>
      <w:r>
        <w:rPr>
          <w:rFonts w:hint="eastAsia" w:ascii="宋体" w:hAnsi="宋体" w:cs="宋体"/>
          <w:color w:val="auto"/>
          <w:sz w:val="24"/>
          <w:szCs w:val="24"/>
          <w:highlight w:val="none"/>
          <w:lang w:val="en-US" w:eastAsia="zh-CN"/>
        </w:rPr>
        <w:t xml:space="preserve">没有不合格项，</w:t>
      </w:r>
      <w:r>
        <w:rPr>
          <w:rFonts w:hint="eastAsia" w:ascii="宋体" w:hAnsi="宋体" w:eastAsia="宋体" w:cs="宋体"/>
          <w:color w:val="auto"/>
          <w:sz w:val="24"/>
          <w:szCs w:val="24"/>
          <w:highlight w:val="none"/>
        </w:rPr>
        <w:t xml:space="preserve">有二维码或电话可查询，</w:t>
      </w:r>
      <w:r>
        <w:rPr>
          <w:rFonts w:hint="eastAsia" w:ascii="宋体" w:hAnsi="宋体" w:eastAsia="宋体" w:cs="宋体"/>
          <w:color w:val="auto"/>
          <w:sz w:val="24"/>
          <w:szCs w:val="24"/>
          <w:highlight w:val="none"/>
          <w:lang w:val="en-US" w:eastAsia="zh-CN" w:bidi="ar-SA"/>
        </w:rPr>
        <w:t xml:space="preserve">如未在规定的时间内提供的，采购人有权取消其中标资格。</w:t>
      </w:r>
      <w:r/>
    </w:p>
    <w:p>
      <w:pPr>
        <w:ind w:firstLine="480"/>
        <w:keepLines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（1）控制台整体检测报告，检测内容至少包含控制台理化性能、力学性能、安全性能；</w:t>
      </w:r>
      <w:r/>
    </w:p>
    <w:p>
      <w:p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（2）铝型材检测报告，检测内容至少包含抗拉强度、屈服强度；</w:t>
      </w:r>
      <w:r/>
    </w:p>
    <w:p>
      <w:p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（3）人体工学办公椅检测报告，检测内容至少包含力学性能、有害物质。</w:t>
      </w:r>
      <w:r/>
    </w:p>
    <w:p>
      <w:p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7.成交供应商中标后签订合同前须向采购人提供部分样品（样品要求详见清单）：</w:t>
      </w:r>
      <w:r/>
    </w:p>
    <w:p>
      <w:p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（1）控制台提供材质小样，包括铝合金型材框架、门板、台板、五金件；</w:t>
      </w:r>
      <w:r/>
    </w:p>
    <w:p>
      <w:p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（2）人体工学办公椅(带腿托）提供一个成品样品。</w:t>
      </w:r>
      <w:r/>
    </w:p>
    <w:p>
      <w:p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采购人对合格的样品进行封存，作为履约验收的依据。</w:t>
      </w:r>
      <w:r/>
    </w:p>
    <w:p>
      <w:pPr>
        <w:ind w:firstLine="480"/>
        <w:keepLines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.在未验收前，请成交供应商自行负责保管好施工材料、工具等。采购人不为施工期间材料丢失、被盗、损坏及与</w:t>
      </w:r>
      <w:r>
        <w:rPr>
          <w:rFonts w:hint="eastAsia" w:ascii="宋体" w:hAnsi="宋体" w:cs="宋体"/>
          <w:color w:val="auto"/>
          <w:sz w:val="24"/>
          <w:szCs w:val="24"/>
          <w:highlight w:val="none"/>
          <w:lang w:val="en-US" w:eastAsia="zh-CN" w:bidi="ar-SA"/>
        </w:rPr>
        <w:t xml:space="preserve">其他</w:t>
      </w:r>
      <w:r>
        <w:rPr>
          <w:rFonts w:hint="eastAsia" w:ascii="宋体" w:hAnsi="宋体" w:eastAsia="宋体" w:cs="宋体"/>
          <w:color w:val="auto"/>
          <w:sz w:val="24"/>
          <w:szCs w:val="24"/>
          <w:highlight w:val="none"/>
          <w:lang w:val="en-US" w:eastAsia="zh-CN" w:bidi="ar-SA"/>
        </w:rPr>
        <w:t xml:space="preserve">施工单位产生的纠纷等事项承担责任，直至验收合格。</w:t>
      </w:r>
      <w:r/>
    </w:p>
    <w:p>
      <w:pPr>
        <w:ind w:firstLine="480"/>
        <w:keepLines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.在安装过程中要委派有经验的专业技术人员进行安装调试，确保正常使用。</w:t>
      </w:r>
      <w:r/>
    </w:p>
    <w:p>
      <w:pPr>
        <w:ind w:firstLine="480"/>
        <w:keepLines w:val="0"/>
        <w:pageBreakBefore w:val="0"/>
        <w:spacing w:line="360" w:lineRule="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四、清单及功能要求</w:t>
      </w:r>
      <w:r/>
    </w:p>
    <w:tbl>
      <w:tblPr>
        <w:tblStyle w:val="828"/>
        <w:tblW w:w="10058" w:type="dxa"/>
        <w:tblInd w:w="-58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2"/>
        <w:gridCol w:w="829"/>
        <w:gridCol w:w="7200"/>
        <w:gridCol w:w="643"/>
        <w:gridCol w:w="764"/>
      </w:tblGrid>
      <w:tr>
        <w:trPr>
          <w:trHeight w:val="353"/>
        </w:trPr>
        <w:tc>
          <w:tcPr>
            <w:shd w:val="clear" w:color="auto" w:fill="auto"/>
            <w:tcBorders>
              <w:top w:val="single" w:color="000000" w:sz="8" w:space="0"/>
              <w:left w:val="single" w:color="000000" w:sz="8" w:space="0"/>
              <w:bottom w:val="single" w:color="000000" w:sz="4" w:space="0"/>
              <w:right w:val="single" w:color="000000" w:sz="4" w:space="0"/>
            </w:tcBorders>
            <w:tcW w:w="62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82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720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64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r>
      <w:tr>
        <w:trPr>
          <w:trHeight w:val="2024"/>
        </w:trPr>
        <w:tc>
          <w:tcPr>
            <w:shd w:val="clear" w:color="auto" w:fill="auto"/>
            <w:tcBorders>
              <w:top w:val="single" w:color="000000" w:sz="4" w:space="0"/>
              <w:left w:val="single" w:color="000000" w:sz="8"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控制台</w:t>
            </w:r>
            <w:r/>
          </w:p>
        </w:tc>
        <w:tc>
          <w:tcPr>
            <w:shd w:val="clear" w:color="auto" w:fill="auto"/>
            <w:tcBorders>
              <w:top w:val="single" w:color="000000" w:sz="4" w:space="0"/>
              <w:left w:val="single" w:color="000000" w:sz="4" w:space="0"/>
              <w:bottom w:val="single" w:color="000000" w:sz="4" w:space="0"/>
              <w:right w:val="single" w:color="000000" w:sz="4" w:space="0"/>
            </w:tcBorders>
            <w:tcW w:w="7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1.13席U型定制专用研判控制台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控制台尺寸：11400*900*750mm(桌面到地面高度为750mm)；控制席柜体：主框架整体采用钢铝混合结构，控制台每个席位由集成模块拼接成长度不小于1200mm，高度735mm，深度不小于1000mm，容膝深度不小于480mm，主体集成模块框架采用钢铝混合结构，主承重钢板采用Q235碳素结构钢,厚度不小于2.0mm，表面静电喷涂，包含上下横梁以及其他承重部分结构件，承重框架采用铝型材截面不小于40mm*40mm铝合金型材框架，铝合金型材四周需圆弧处理，通过专用链接构件进行连接，包含左右侧窗。通过通</w:t>
            </w:r>
            <w:r>
              <w:rPr>
                <w:rFonts w:ascii="SimSun" w:hAnsi="SimSun" w:eastAsia="SimSun" w:cs="SimSun"/>
                <w:color w:val="000000"/>
                <w:sz w:val="21"/>
              </w:rPr>
              <w:t xml:space="preserve">用连接件拼装再组成一个独立模块，各个模块之间通用部件一致可互换，整体连接后的各个模块间内部贯通，各种线缆在指挥调度控制设备内可以实现自由贯通。铝型材抗拉强度200Mpa以上，屈服强度150Mpa以上，每个舱体静态载荷可达100KG。控制台前台500mm每单元可承载40kg无变形，同时使设备柜内不会有刮手的利口，并且便于进行改造和扩充、而无需钻孔作业。门板采用不小于1.2mm结构钢成型，门板下方设有通风散热矩阵，门板采用304不锈钢静音阻尼铰链，通过特制连接模块悬挂于主框架上，使操作台外观更具有现代感，并且具</w:t>
            </w:r>
            <w:r>
              <w:rPr>
                <w:rFonts w:ascii="SimSun" w:hAnsi="SimSun" w:eastAsia="SimSun" w:cs="SimSun"/>
                <w:color w:val="000000"/>
                <w:sz w:val="21"/>
              </w:rPr>
              <w:t xml:space="preserve">备质量轻、结构力强、耐热、使设备散热更快的优点，解决了木质门板的通风散热及阻燃问题。台板：采用进口原材料SPC抗倍特板。采用不小于18mm抗倍特板，经过CNC精密加工成型，表面经过耐磨处理，防火阻燃，防潮耐刻划。抗倍特台板边沿手枕黑色鸭嘴型一次成型，手枕采用台板一体化延伸的台板边缘，非二次加装聚氨酯等封边材料。后屏风背墙：后屏风背墙固定结构件采用不小于10.0mmQ235碳素结构钢，钣金制成通用连接件，具有高强度，抗变形等性能。具有高承载，后期悬挂显示器之后，无侧倾。后屏风采用横截面不小于50mm*150m</w:t>
            </w:r>
            <w:r>
              <w:rPr>
                <w:rFonts w:ascii="SimSun" w:hAnsi="SimSun" w:eastAsia="SimSun" w:cs="SimSun"/>
                <w:color w:val="000000"/>
                <w:sz w:val="21"/>
              </w:rPr>
              <w:t xml:space="preserve">m拉铝合金型材，表面经过静电喷涂着色，后屏风高度（不含有机玻璃）不小于230mm，后屏风固定在后梁上，后屏风型材与后梁结构件通过特制连接模块可实现快速紧固连接，安装完毕后形成一体。台面设有毛刷出线槽，出现槽整体采用铝合金型材，宽度不小于80mm，表面经过喷涂，满足日常工作设备走线需求，电子设备舱内左右联通贯穿，上方设有走线桥架。侧板：采用优质冷轧钢板制作成型，表面金属喷涂黑色+白色亚克力：屏风上部采用10mm高透亚克力，四周经CNC切割成型，四周钻石抛光处理，可以根据客户席位功能进行DVT精雕立体字，内嵌蓝</w:t>
            </w:r>
            <w:r>
              <w:rPr>
                <w:rFonts w:ascii="SimSun" w:hAnsi="SimSun" w:eastAsia="SimSun" w:cs="SimSun"/>
                <w:color w:val="000000"/>
                <w:sz w:val="21"/>
              </w:rPr>
              <w:t xml:space="preserve">光LED灯带。 </w:t>
            </w:r>
            <w:r/>
          </w:p>
          <w:p>
            <w:r>
              <w:rPr>
                <w:rFonts w:ascii="SimSun" w:hAnsi="SimSun" w:eastAsia="SimSun" w:cs="SimSun"/>
                <w:color w:val="000000"/>
                <w:sz w:val="21"/>
              </w:rPr>
              <w:t xml:space="preserve">3.最终尺寸经甲方确认后实施。</w:t>
            </w:r>
            <w:r/>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r>
      <w:tr>
        <w:trPr>
          <w:trHeight w:val="748"/>
        </w:trPr>
        <w:tc>
          <w:tcPr>
            <w:shd w:val="clear" w:color="auto" w:fill="auto"/>
            <w:tcBorders>
              <w:top w:val="single" w:color="000000" w:sz="4" w:space="0"/>
              <w:left w:val="single" w:color="000000" w:sz="8"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控制台</w:t>
            </w:r>
            <w:r/>
          </w:p>
        </w:tc>
        <w:tc>
          <w:tcPr>
            <w:shd w:val="clear" w:color="auto" w:fill="auto"/>
            <w:tcBorders>
              <w:top w:val="single" w:color="000000" w:sz="4" w:space="0"/>
              <w:left w:val="single" w:color="000000" w:sz="4" w:space="0"/>
              <w:bottom w:val="single" w:color="000000" w:sz="4" w:space="0"/>
              <w:right w:val="single" w:color="000000" w:sz="4" w:space="0"/>
            </w:tcBorders>
            <w:tcW w:w="7200" w:type="dxa"/>
            <w:vAlign w:val="center"/>
            <w:textDirection w:val="lrTb"/>
            <w:noWrap w:val="false"/>
          </w:tcPr>
          <w:p>
            <w:pPr>
              <w:ind w:left="0" w:right="0" w:firstLine="0"/>
              <w:spacing w:before="0" w:after="0"/>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1.6席直型定制专用研判控制台                                                     </w:t>
            </w:r>
            <w:r>
              <w:rPr>
                <w:rFonts w:ascii="SimSun" w:hAnsi="SimSun" w:eastAsia="SimSun" w:cs="SimSun"/>
                <w:sz w:val="21"/>
              </w:rPr>
            </w:r>
          </w:p>
          <w:p>
            <w:pPr>
              <w:ind w:left="0" w:right="0" w:firstLine="0"/>
              <w:spacing w:before="0" w:after="0"/>
              <w:rPr>
                <w:rFonts w:ascii="SimSun" w:hAnsi="SimSun" w:eastAsia="SimSun" w:cs="SimSu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控制台尺寸：7200*800*750mm(桌面到地面高度为750mm)；控制席柜体：主框架整体采用钢铝混合结构，控制台每个席位由集成模块拼接成长度不小于1200mm，高度735mm，深度不小于1000mm，容膝深度不小于480mm，主体集成模块框架采用钢铝混合结构，主承重钢板采用Q235碳素结构钢,厚度不小于2.0mm，表面静电喷涂，包含上下横梁以及其他承重部分结构件，</w:t>
            </w:r>
            <w:r>
              <w:rPr>
                <w:rFonts w:ascii="SimSun" w:hAnsi="SimSun" w:eastAsia="SimSun" w:cs="SimSun"/>
                <w:color w:val="000000"/>
                <w:sz w:val="21"/>
              </w:rPr>
              <w:t xml:space="preserve">承重框架采用铝型材截面不小于40mm*40mm铝合金型材框架，铝合金型材四周需圆弧处理，通过专用链接构件进行连接，包含左右侧窗。通过通用连接件拼装再组成一个独立模块，各个模块之间通用部件一致可互换，整体连接后的各个模块间内部贯通，各种线缆在指挥调度控制设备内可以实现自由贯通。铝型材抗拉强度200Mpa以上，屈服强度150Mpa以上，每个舱体静态载荷可达100KG。控制台前台500mm每单元可承载40kg无变形，同时使设备柜内不会有刮手的利口，并且便于进行改造和扩充、而无需钻孔作业。门板采用不小于1.2mm结</w:t>
            </w:r>
            <w:r>
              <w:rPr>
                <w:rFonts w:ascii="SimSun" w:hAnsi="SimSun" w:eastAsia="SimSun" w:cs="SimSun"/>
                <w:color w:val="000000"/>
                <w:sz w:val="21"/>
              </w:rPr>
              <w:t xml:space="preserve">构钢成型，门板下方设有通风散热矩阵，门板采用304不锈钢静音阻尼铰链，通过特制连接模块悬挂于主框架上，使操作台外观更具有现代感，并且具备质量轻、结构力强、耐热、使设备散热更快的优点，解决了木质门板的通风散热及阻燃问题。台板：采用进口原材料SPC抗倍特板。采用不小于18mm抗倍特板，经过CNC精密加工成型，表面经过耐磨处理，防火阻燃，防潮耐刻划。抗倍特台板边沿手枕黑色鸭嘴型一次成型，手枕采用台板一体化延伸的台板边缘，非二次加装聚氨酯等封边材料。后屏风背墙：后屏风背墙固定结构件采用不小于10.0mmQ235碳素</w:t>
            </w:r>
            <w:r>
              <w:rPr>
                <w:rFonts w:ascii="SimSun" w:hAnsi="SimSun" w:eastAsia="SimSun" w:cs="SimSun"/>
                <w:color w:val="000000"/>
                <w:sz w:val="21"/>
              </w:rPr>
              <w:t xml:space="preserve">结构钢，钣金制成通用连接件，具有高强度，抗变形等性能。具有高承载，后期悬挂显示器之后，无侧倾。后屏风采用横截面不小于50mm*150mm拉铝合金型材，表面经过静电喷涂着色，后屏风高度（不含有机玻璃）不小于230mm，后屏风固定在后梁上，后屏风型材与后梁结构件通过特制连接模块可实现快速紧固连接，安装完毕后形成一体。台面设有毛刷出线槽，出现槽整体采用铝合金型材，宽度不小于80mm，表面经过喷涂，满足日常工作设备走线需求，电子设备舱内左右联通贯穿，上方设有走线桥架。侧板：采用优质冷轧钢板制作成型，表面金属喷涂黑色</w:t>
            </w:r>
            <w:r>
              <w:rPr>
                <w:rFonts w:ascii="SimSun" w:hAnsi="SimSun" w:eastAsia="SimSun" w:cs="SimSun"/>
                <w:color w:val="000000"/>
                <w:sz w:val="21"/>
              </w:rPr>
              <w:t xml:space="preserve">+白色亚克力：屏风上部采用10mm高透亚克力，四周经CNC切割成型，四周钻石抛光处理，可以根据客户席位功能进行DVT精雕立体字，内嵌蓝光LED灯带。  </w:t>
            </w:r>
            <w:r/>
            <w:r/>
          </w:p>
          <w:p>
            <w:r>
              <w:rPr>
                <w:rFonts w:ascii="SimSun" w:hAnsi="SimSun" w:eastAsia="SimSun" w:cs="SimSun"/>
                <w:color w:val="000000"/>
                <w:sz w:val="21"/>
              </w:rPr>
              <w:t xml:space="preserve">3.最终尺寸经甲方确认后实施。</w:t>
            </w:r>
            <w:r/>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r>
      <w:tr>
        <w:trPr>
          <w:trHeight w:val="1678"/>
        </w:trPr>
        <w:tc>
          <w:tcPr>
            <w:shd w:val="clear" w:color="auto" w:fill="auto"/>
            <w:tcBorders>
              <w:top w:val="single" w:color="000000" w:sz="4" w:space="0"/>
              <w:left w:val="single" w:color="000000" w:sz="8"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控制台</w:t>
            </w:r>
            <w:r/>
          </w:p>
        </w:tc>
        <w:tc>
          <w:tcPr>
            <w:shd w:val="clear" w:color="auto" w:fill="auto"/>
            <w:tcBorders>
              <w:top w:val="single" w:color="000000" w:sz="4" w:space="0"/>
              <w:left w:val="single" w:color="000000" w:sz="4" w:space="0"/>
              <w:bottom w:val="single" w:color="000000" w:sz="4" w:space="0"/>
              <w:right w:val="single" w:color="000000" w:sz="4" w:space="0"/>
            </w:tcBorders>
            <w:tcW w:w="7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1.异形3人定制专用研判控制台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控制台尺寸：2850*2350*1180mm(桌面到地面高度为750mm)；控制席柜体：主框架整体采用钢铝混合结构，控制台每个席位由集成模块拼接成长度不小于1200mm，高度735mm，深度不小于1000mm，容膝深度不小于480mm，主体集成模块框架采用钢铝混合结构，主承重钢板采用Q235碳素结构钢,厚度不小于2.0mm，表面静电喷涂，包含上下横梁以及其他承重部分结构件，承重框架采用铝型材截面不小于40mm*40mm铝合金型材框架，铝合金型材四周需圆弧处理，通过专用链接构件进行连接，包含左右侧窗。通过</w:t>
            </w:r>
            <w:r>
              <w:rPr>
                <w:rFonts w:ascii="SimSun" w:hAnsi="SimSun" w:eastAsia="SimSun" w:cs="SimSun"/>
                <w:color w:val="000000"/>
                <w:sz w:val="21"/>
              </w:rPr>
              <w:t xml:space="preserve">通用连接件拼装再组成一个独立模块，各个模块之间通用部件一致可互换，整体连接后的各个模块间内部贯通，各种线缆在指挥调度控制设备内可以实现自由贯通。铝型材抗拉强度200Mpa以上，屈服强度150Mpa以上，每个舱体静态载荷可达100KG。控制台前台500mm每单元可承载40kg无变形，同时使设备柜内不会有刮手的利口，并且便于进行改造和扩充、而无需钻孔作业。门板采用不小于1.2mm结构钢成型，门板下方设有通风散热矩阵，门板采用304不锈钢静音阻尼铰链，通过特制连接模块悬挂于主框架上，使操作台外观更具有现代感，并且</w:t>
            </w:r>
            <w:r>
              <w:rPr>
                <w:rFonts w:ascii="SimSun" w:hAnsi="SimSun" w:eastAsia="SimSun" w:cs="SimSun"/>
                <w:color w:val="000000"/>
                <w:sz w:val="21"/>
              </w:rPr>
              <w:t xml:space="preserve">具备质量轻、结构力强、耐热、使设备散热更快的优点，解决了木质门板的通风散热及阻燃问题。台板：采用进口原材料SPC抗倍特板。采用不小于18mm抗倍特板，经过CNC精密加工成型，表面经过耐磨处理，防火阻燃，防潮耐刻划。抗倍特台板边沿手枕黑色鸭嘴型一次成型，手枕采用台板一体化延伸的台板边缘，非二次加装聚氨酯等封边材料。后屏风背墙：后屏风背墙固定结构件采用不小于10.0mmQ235碳素结构钢，钣金制成通用连接件，具有高强度，抗变形等性能。具有高承载，后期悬挂显示器之后，无侧倾。后屏风采用横截面不小于50mm*15</w:t>
            </w:r>
            <w:r>
              <w:rPr>
                <w:rFonts w:ascii="SimSun" w:hAnsi="SimSun" w:eastAsia="SimSun" w:cs="SimSun"/>
                <w:color w:val="000000"/>
                <w:sz w:val="21"/>
              </w:rPr>
              <w:t xml:space="preserve">0mm拉铝合金型材，表面经过静电喷涂着色，后屏风高度（不含有机玻璃）不小于230mm，后屏风固定在后梁上，后屏风型材与后梁结构件通过特制连接模块可实现快速紧固连接，安装完毕后形成一体。台面设有毛刷出线槽，出现槽整体采用铝合金型材，宽度不小于80mm，表面经过喷涂，满足日常工作设备走线需求，电子设备舱内左右联通贯穿，上方设有走线桥架。侧板：采用优质冷轧钢板制作成型，表面金属喷涂黑色+白色亚克力：屏风上部采用10mm高透亚克力，四周经CNC切割成型，四周钻石抛光处理，可以根据客户席位功能进行DVT精雕立体字，内</w:t>
            </w:r>
            <w:r>
              <w:rPr>
                <w:rFonts w:ascii="SimSun" w:hAnsi="SimSun" w:eastAsia="SimSun" w:cs="SimSun"/>
                <w:color w:val="000000"/>
                <w:sz w:val="21"/>
              </w:rPr>
              <w:t xml:space="preserve">嵌蓝光LED灯带。  </w:t>
            </w:r>
            <w:r/>
          </w:p>
          <w:p>
            <w:r>
              <w:rPr>
                <w:rFonts w:ascii="SimSun" w:hAnsi="SimSun" w:eastAsia="SimSun" w:cs="SimSun"/>
                <w:color w:val="000000"/>
                <w:sz w:val="21"/>
              </w:rPr>
              <w:t xml:space="preserve">3.最终尺寸经甲方确认后实施。</w:t>
            </w:r>
            <w:r/>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 </w:t>
            </w:r>
            <w:r/>
          </w:p>
        </w:tc>
      </w:tr>
      <w:tr>
        <w:trPr>
          <w:trHeight w:val="403"/>
        </w:trPr>
        <w:tc>
          <w:tcPr>
            <w:shd w:val="clear" w:color="auto" w:fill="auto"/>
            <w:tcBorders>
              <w:top w:val="single" w:color="000000" w:sz="4" w:space="0"/>
              <w:left w:val="single" w:color="000000" w:sz="8"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控制台</w:t>
            </w:r>
            <w:r/>
          </w:p>
        </w:tc>
        <w:tc>
          <w:tcPr>
            <w:shd w:val="clear" w:color="auto" w:fill="auto"/>
            <w:tcBorders>
              <w:top w:val="single" w:color="000000" w:sz="4" w:space="0"/>
              <w:left w:val="single" w:color="000000" w:sz="4" w:space="0"/>
              <w:bottom w:val="single" w:color="000000" w:sz="4" w:space="0"/>
              <w:right w:val="single" w:color="000000" w:sz="4" w:space="0"/>
            </w:tcBorders>
            <w:tcW w:w="7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1.异形6人定制专用研判控制台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控制台尺寸：4670*2930*1300mm(桌面到地面高度为750mm)；控制席柜体：主框架整体采用钢铝混合结构，控制台每个席位由集成模块拼接成长度不小于1200mm，高度735mm，深度不小于1000mm，容膝深度不小于480mm，主体集成模块框架采用钢铝混合结构，主承重钢板采用Q235碳素结构钢,厚度不小于2.0mm，表面静电喷涂，包含上下横梁以及其他承重部分结构件，承重框架采用铝型材截面不小于40mm*40mm铝合金型材框架，铝合金型材四周需圆弧处理，通过专用链接构件进行连接，包含左右侧窗。通过</w:t>
            </w:r>
            <w:r>
              <w:rPr>
                <w:rFonts w:ascii="SimSun" w:hAnsi="SimSun" w:eastAsia="SimSun" w:cs="SimSun"/>
                <w:color w:val="000000"/>
                <w:sz w:val="21"/>
              </w:rPr>
              <w:t xml:space="preserve">通用连接件拼装再组成一个独立模块，各个模块之间通用部件一致可互换，整体连接后的各个模块间内部贯通，各种线缆在指挥调度控制设备内可以实现自由贯通。铝型材抗拉强度200Mpa以上，屈服强度150Mpa以上，每个舱体静态载荷可达100KG。控制台前台500mm每单元可承载40kg无变形，同时使设备柜内不会有刮手的利口，并且便于进行改造和扩充、而无需钻孔作业。门板采用不小于1.2mm结构钢成型，门板下方设有通风散热矩阵，门板采用304不锈钢静音阻尼铰链，通过特制连接模块悬挂于主框架上，使操作台外观更具有现代感，并且</w:t>
            </w:r>
            <w:r>
              <w:rPr>
                <w:rFonts w:ascii="SimSun" w:hAnsi="SimSun" w:eastAsia="SimSun" w:cs="SimSun"/>
                <w:color w:val="000000"/>
                <w:sz w:val="21"/>
              </w:rPr>
              <w:t xml:space="preserve">具备质量轻、结构力强、耐热、使设备散热更快的优点，解决了木质门板的通风散热及阻燃问题。台板：采用进口原材料SPC抗倍特板。采用不小于18mm抗倍特板，经过CNC精密加工成型，表面经过耐磨处理，防火阻燃，防潮耐刻划。抗倍特台板边沿手枕黑色鸭嘴型一次成型，手枕采用台板一体化延伸的台板边缘，非二次加装聚氨酯等封边材料。后屏风背墙：后屏风背墙固定结构件采用不小于10.0mmQ235碳素结构钢，钣金制成通用连接件，具有高强度，抗变形等性能。具有高承载，后期悬挂显示器之后，无侧倾。后屏风采用横截面不小于50mm*150</w:t>
            </w:r>
            <w:r>
              <w:rPr>
                <w:rFonts w:ascii="SimSun" w:hAnsi="SimSun" w:eastAsia="SimSun" w:cs="SimSun"/>
                <w:color w:val="000000"/>
                <w:sz w:val="21"/>
              </w:rPr>
              <w:t xml:space="preserve">mm拉铝合金型材，表面经过静电喷涂着色，后屏风高度（不含有机玻璃）不小于230mm，后屏风固定在后梁上，后屏风型材与后梁结构件通过特制连接模块可实现快速紧固连接，安装完毕后形成一体。台面设有毛刷出线槽，出现槽整体采用铝合金型材，宽度不小于80mm，表面经过喷涂，满足日常工作设备走线需求，电子设备舱内左右联通贯穿，上方设有走线桥架。侧板：采用优质冷轧钢板制作成型，表面金属喷涂黑色+白色亚克力：屏风上部采用10mm高透亚克力，四周经CNC切割成型，四周钻石抛光处理，可以根据客户席位功能进行DVT精雕立体字，内嵌</w:t>
            </w:r>
            <w:r>
              <w:rPr>
                <w:rFonts w:ascii="SimSun" w:hAnsi="SimSun" w:eastAsia="SimSun" w:cs="SimSun"/>
                <w:color w:val="000000"/>
                <w:sz w:val="21"/>
              </w:rPr>
              <w:t xml:space="preserve">蓝光LED灯带。   </w:t>
            </w:r>
            <w:r/>
          </w:p>
          <w:p>
            <w:r>
              <w:rPr>
                <w:rFonts w:ascii="SimSun" w:hAnsi="SimSun" w:eastAsia="SimSun" w:cs="SimSun"/>
                <w:color w:val="000000"/>
                <w:sz w:val="21"/>
              </w:rPr>
              <w:t xml:space="preserve">3.最终尺寸经甲方确认后实施。</w:t>
            </w:r>
            <w:r/>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r>
      <w:tr>
        <w:trPr>
          <w:trHeight w:val="1536"/>
        </w:trPr>
        <w:tc>
          <w:tcPr>
            <w:shd w:val="clear" w:color="auto" w:fill="auto"/>
            <w:tcBorders>
              <w:top w:val="single" w:color="000000" w:sz="4" w:space="0"/>
              <w:left w:val="single" w:color="000000" w:sz="8"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控制台</w:t>
            </w:r>
            <w:r/>
          </w:p>
        </w:tc>
        <w:tc>
          <w:tcPr>
            <w:shd w:val="clear" w:color="auto" w:fill="auto"/>
            <w:tcBorders>
              <w:top w:val="single" w:color="000000" w:sz="4" w:space="0"/>
              <w:left w:val="single" w:color="000000" w:sz="4" w:space="0"/>
              <w:bottom w:val="single" w:color="000000" w:sz="4" w:space="0"/>
              <w:right w:val="single" w:color="000000" w:sz="4" w:space="0"/>
            </w:tcBorders>
            <w:tcW w:w="7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1.4席位定制专用研判控制台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控制台尺寸：4400*900*750mm(桌面到地面高度为750mm)控制席柜体：主框架整体采用钢铝混合结构，控制台每个席位由集成模块拼接成长度不小于1200mm，高度735mm，深度不小于1000mm，容膝深度不小于480mm，主体集成模块框架采用钢铝混合结构，主承重钢板采用Q235碳素结构钢,厚度不小于2.0mm，表面静电喷涂，包含上下横梁以及其他承重部分结构件，承重框架采用铝型材截面不小于40mm*40mm铝合金型材框架，铝合金型材四周需圆弧处理，通过专用链接构件进行连接，包含左右侧窗。通过通用连</w:t>
            </w:r>
            <w:r>
              <w:rPr>
                <w:rFonts w:ascii="SimSun" w:hAnsi="SimSun" w:eastAsia="SimSun" w:cs="SimSun"/>
                <w:color w:val="000000"/>
                <w:sz w:val="21"/>
              </w:rPr>
              <w:t xml:space="preserve">接件拼装再组成一个独立模块，各个模块之间通用部件一致可互换，整体连接后的各个模块间内部贯通，各种线缆在指挥调度控制设备内可以实现自由贯通。铝型材抗拉强度200Mpa以上，屈服强度150Mpa以上，每个舱体静态载荷可达100KG。控制台前台500mm每单元可承载40kg无变形，同时使设备柜内不会有刮手的利口，并且便于进行改造和扩充、而无需钻孔作业。门板采用不小于1.2mm结构钢成型，门板下方设有通风散热矩阵，门板采用304不锈钢静音阻尼铰链，通过特制连接模块悬挂于主框架上，使操作台外观更具有现代感，并且具备质</w:t>
            </w:r>
            <w:r>
              <w:rPr>
                <w:rFonts w:ascii="SimSun" w:hAnsi="SimSun" w:eastAsia="SimSun" w:cs="SimSun"/>
                <w:color w:val="000000"/>
                <w:sz w:val="21"/>
              </w:rPr>
              <w:t xml:space="preserve">量轻、结构力强、耐热、使设备散热更快的优点，解决了木质门板的通风散热及阻燃问题。台板：采用进口原材料SPC抗倍特板。采用不小于18mm抗倍特板，经过CNC精密加工成型，表面经过耐磨处理，防火阻燃，防潮耐刻划。抗倍特台板边沿手枕黑色鸭嘴型一次成型，手枕采用台板一体化延伸的台板边缘，非二次加装聚氨酯等封边材料。后屏风背墙：后屏风背墙固定结构件采用不小于10.0mmQ235碳素结构钢，钣金制成通用连接件，具有高强度，抗变形等性能。具有高承载，后期悬挂显示器之后，无侧倾。后屏风采用横截面不小于50mm*150mm拉</w:t>
            </w:r>
            <w:r>
              <w:rPr>
                <w:rFonts w:ascii="SimSun" w:hAnsi="SimSun" w:eastAsia="SimSun" w:cs="SimSun"/>
                <w:color w:val="000000"/>
                <w:sz w:val="21"/>
              </w:rPr>
              <w:t xml:space="preserve">铝合金型材，表面经过静电喷涂着色，后屏风高度（不含有机玻璃）不小于230mm，后屏风固定在后梁上，后屏风型材与后梁结构件通过特制连接模块可实现快速紧固连接，安装完毕后形成一体。台面设有毛刷出线槽，出现槽整体采用铝合金型材，宽度不小于80mm，表面经过喷涂，满足日常工作设备走线需求，电子设备舱内左右联通贯穿，上方设有走线桥架。侧板：采用优质冷轧钢板制作成型，表面金属喷涂黑色+白色亚克力：屏风上部采用10mm高透亚克力，四周经CNC切割成型，四周钻石抛光处理，可以根据客户席位功能进行DVT精雕立体字，内嵌蓝光L</w:t>
            </w:r>
            <w:r>
              <w:rPr>
                <w:rFonts w:ascii="SimSun" w:hAnsi="SimSun" w:eastAsia="SimSun" w:cs="SimSun"/>
                <w:color w:val="000000"/>
                <w:sz w:val="21"/>
              </w:rPr>
              <w:t xml:space="preserve">ED灯带。   </w:t>
            </w:r>
            <w:r/>
          </w:p>
          <w:p>
            <w:r>
              <w:rPr>
                <w:rFonts w:ascii="SimSun" w:hAnsi="SimSun" w:eastAsia="SimSun" w:cs="SimSun"/>
                <w:color w:val="000000"/>
                <w:sz w:val="21"/>
              </w:rPr>
              <w:t xml:space="preserve">3.最终尺寸经甲方确认后实施。</w:t>
            </w:r>
            <w:r/>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 </w:t>
            </w:r>
            <w:r/>
          </w:p>
        </w:tc>
      </w:tr>
      <w:tr>
        <w:trPr>
          <w:trHeight w:val="828"/>
        </w:trPr>
        <w:tc>
          <w:tcPr>
            <w:shd w:val="clear" w:color="auto" w:fill="auto"/>
            <w:tcBorders>
              <w:top w:val="single" w:color="000000" w:sz="4" w:space="0"/>
              <w:left w:val="single" w:color="000000" w:sz="8"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控制台</w:t>
            </w:r>
            <w:r/>
          </w:p>
        </w:tc>
        <w:tc>
          <w:tcPr>
            <w:shd w:val="clear" w:color="auto" w:fill="auto"/>
            <w:tcBorders>
              <w:top w:val="single" w:color="000000" w:sz="4" w:space="0"/>
              <w:left w:val="single" w:color="000000" w:sz="4" w:space="0"/>
              <w:bottom w:val="single" w:color="000000" w:sz="4" w:space="0"/>
              <w:right w:val="single" w:color="000000" w:sz="4" w:space="0"/>
            </w:tcBorders>
            <w:tcW w:w="7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1.3席位定制专用研判控制台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控制台尺寸：3000*900*750mm(桌面到地面高度为750mm)控制席柜体：主框架整体采用钢铝混合结构，控制台每个席位由集成模块拼接成长度不小于1200mm，高度735mm，深度不小于1000mm，容膝深度不小于480mm，主体集成模块框架采用钢铝混合结构，主承重钢板采用Q235碳素结构钢,厚度不小于2.0mm，表面静电喷涂，包含上下横梁以及其他承重部分结构件，承重框架采用铝型材截面不小于40mm*40mm铝合金型材框架，铝合金型材四周需圆弧处理，通过专用链接构件进行连接，包含左右侧窗。通过通用连</w:t>
            </w:r>
            <w:r>
              <w:rPr>
                <w:rFonts w:ascii="SimSun" w:hAnsi="SimSun" w:eastAsia="SimSun" w:cs="SimSun"/>
                <w:color w:val="000000"/>
                <w:sz w:val="21"/>
              </w:rPr>
              <w:t xml:space="preserve">接件拼装再组成一个独立模块，各个模块之间通用部件一致可互换，整体连接后的各个模块间内部贯通，各种线缆在指挥调度控制设备内可以实现自由贯通。铝型材抗拉强度200Mpa以上，屈服强度150Mpa以上，每个舱体静态载荷可达100KG。控制台前台500mm每单元可承载40kg无变形，同时使设备柜内不会有刮手的利口，并且便于进行改造和扩充、而无需钻孔作业。门板采用不小于1.2mm结构钢成型，门板下方设有通风散热矩阵，门板采用304不锈钢静音阻尼铰链，通过特制连接模块悬挂于主框架上，使操作台外观更具有现代感，并且具备质</w:t>
            </w:r>
            <w:r>
              <w:rPr>
                <w:rFonts w:ascii="SimSun" w:hAnsi="SimSun" w:eastAsia="SimSun" w:cs="SimSun"/>
                <w:color w:val="000000"/>
                <w:sz w:val="21"/>
              </w:rPr>
              <w:t xml:space="preserve">量轻、结构力强、耐热、使设备散热更快的优点，解决了木质门板的通风散热及阻燃问题。台板：采用进口原材料SPC抗倍特板。采用不小于18mm抗倍特板，经过CNC精密加工成型，表面经过耐磨处理，防火阻燃，防潮耐刻划。抗倍特台板边沿手枕黑色鸭嘴型一次成型，手枕采用台板一体化延伸的台板边缘，非二次加装聚氨酯等封边材料。后屏风背墙：后屏风背墙固定结构件采用不小于10.0mmQ235 碳素结构钢，钣金制成通用连接件，具有高强度，抗变形等性能。具有高承载，后期悬挂显示器之后，无侧倾。后屏风采用横截面不小于50mm*150mm</w:t>
            </w:r>
            <w:r>
              <w:rPr>
                <w:rFonts w:ascii="SimSun" w:hAnsi="SimSun" w:eastAsia="SimSun" w:cs="SimSun"/>
                <w:color w:val="000000"/>
                <w:sz w:val="21"/>
              </w:rPr>
              <w:t xml:space="preserve">拉铝合金型材，表面经过静电喷涂着色，后屏风高度（不含有机玻璃）不小于230mm，后屏风固定在后梁上，后屏风型材与后梁结构件通过特制连接模块可实现快速紧固连接，安装完毕后形成一体。台面设有毛刷出线槽，出现槽整体采用铝合金型材，宽度不小于80mm，表面经过喷涂，满足日常工作设备走线需求，电子设备舱内左右联通贯穿，上方设有走线桥架。侧板：采用优质冷轧钢板制作成型，表面金属喷涂黑色+白色亚克力：屏风上部采用10mm高透亚克力，四周经CNC切割成型，四周钻石抛光处理，可以根据客户席位功能进行DVT精雕立体字，内嵌蓝光</w:t>
            </w:r>
            <w:r>
              <w:rPr>
                <w:rFonts w:ascii="SimSun" w:hAnsi="SimSun" w:eastAsia="SimSun" w:cs="SimSun"/>
                <w:color w:val="000000"/>
                <w:sz w:val="21"/>
              </w:rPr>
              <w:t xml:space="preserve">LED灯带。   </w:t>
            </w:r>
            <w:r/>
          </w:p>
          <w:p>
            <w:r>
              <w:rPr>
                <w:rFonts w:ascii="SimSun" w:hAnsi="SimSun" w:eastAsia="SimSun" w:cs="SimSun"/>
                <w:color w:val="000000"/>
                <w:sz w:val="21"/>
              </w:rPr>
              <w:t xml:space="preserve">3.最终尺寸经甲方确认后实施。</w:t>
            </w:r>
            <w:r/>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 </w:t>
            </w:r>
            <w:r/>
          </w:p>
        </w:tc>
      </w:tr>
      <w:tr>
        <w:trPr>
          <w:trHeight w:val="5000"/>
        </w:trPr>
        <w:tc>
          <w:tcPr>
            <w:shd w:val="clear" w:color="auto" w:fill="auto"/>
            <w:tcBorders>
              <w:top w:val="single" w:color="000000" w:sz="4" w:space="0"/>
              <w:left w:val="single" w:color="000000" w:sz="8"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控制台</w:t>
            </w:r>
            <w:r/>
          </w:p>
        </w:tc>
        <w:tc>
          <w:tcPr>
            <w:shd w:val="clear" w:color="auto" w:fill="auto"/>
            <w:tcBorders>
              <w:top w:val="single" w:color="000000" w:sz="4" w:space="0"/>
              <w:left w:val="single" w:color="000000" w:sz="4" w:space="0"/>
              <w:bottom w:val="single" w:color="000000" w:sz="4" w:space="0"/>
              <w:right w:val="single" w:color="000000" w:sz="4" w:space="0"/>
            </w:tcBorders>
            <w:tcW w:w="7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1.2席位定制专用研判控制台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控制台尺寸：2400*900*750mm(桌面到地面高度为750mm)控制席柜体：主框架整体采用钢铝混合结构，控制台每个席位由集成模块拼接成长度不小于1200mm，高度735mm，深度不小于1000mm，容膝深度不小于480mm，主体集成模块框架采用钢铝混合结构，主承重钢板采用Q235碳素结构钢,厚度不小于2.0mm，表面静电喷涂，包含上下横梁以及其他承重部分结构件，承重框架采用铝型材截面不小于40mm*40mm铝合金型材框架，铝合金型材四周需圆弧处理，通过专用链接构件进行连接，包含左右侧窗。通过通用连</w:t>
            </w:r>
            <w:r>
              <w:rPr>
                <w:rFonts w:ascii="SimSun" w:hAnsi="SimSun" w:eastAsia="SimSun" w:cs="SimSun"/>
                <w:color w:val="000000"/>
                <w:sz w:val="21"/>
              </w:rPr>
              <w:t xml:space="preserve">接件拼装再组成一个独立模块，各个模块之间通用部件一致可互换，整体连接后的各个模块间内部贯通，各种线缆在指挥调度控制设备内可以实现自由贯通。铝型材抗拉强度200Mpa以上，屈服强度150Mpa以上，每个舱体静态载荷可达100KG。控制台前台500mm每单元可承载40kg无变形，同时使设备柜内不会有刮手的利口，并且便于进行改造和扩充、而无需钻孔作业。门板采用不小于1.2mm结构钢成型，门板下方设有通风散热矩阵，门板采用304不锈钢静音阻尼铰链，通过特制连接模块悬挂于主框架上，使操作台外观更具有现代感，并且具备质</w:t>
            </w:r>
            <w:r>
              <w:rPr>
                <w:rFonts w:ascii="SimSun" w:hAnsi="SimSun" w:eastAsia="SimSun" w:cs="SimSun"/>
                <w:color w:val="000000"/>
                <w:sz w:val="21"/>
              </w:rPr>
              <w:t xml:space="preserve">量轻、结构力强、耐热、使设备散热更快的优点，解决了木质门板的通风散热及阻燃问题。台板：采用进口原材料SPC抗倍特板。采用不小于18mm抗倍特板，经过CNC精密加工成型，表面经过耐磨处理，防火阻燃，防潮耐刻划。抗倍特台板边沿手枕黑色鸭嘴型一次成型，手枕采用台板一体化延伸的台板边缘，非二次加装聚氨酯等封边材料。后屏风背墙：后屏风背墙固定结构件采用不小于10.0mmQ235碳素结构钢，钣金制成通用连接件，具有高强度，抗变形等性能。具有高承载，后期悬挂显示器之后，无侧倾。后屏风采用横截面不小于50mm*150mm拉</w:t>
            </w:r>
            <w:r>
              <w:rPr>
                <w:rFonts w:ascii="SimSun" w:hAnsi="SimSun" w:eastAsia="SimSun" w:cs="SimSun"/>
                <w:color w:val="000000"/>
                <w:sz w:val="21"/>
              </w:rPr>
              <w:t xml:space="preserve">铝合金型材，表面经过静电喷涂着色，后屏风高度（不含有机玻璃）不小于230mm，后屏风固定在后梁上，后屏风型材与后梁结构件通过特制连接模块可实现快速紧固连接，安装完毕后形成一体。台面设有毛刷出线槽，出现槽整体采用铝合金型材，宽度不小于80mm，表面经过喷涂，满足日常工作设备走线需求，电子设备舱内左右联通贯穿，上方设有走线桥架。侧板：采用优质冷轧钢板制作成型  ，表面金属喷涂黑色+白色亚克力：屏风上部采用10mm高透亚克力，四周经CNC切割成型，四周钻石抛光处理，可以根据客户席位功能进行DVT精雕立体字，内嵌蓝</w:t>
            </w:r>
            <w:r>
              <w:rPr>
                <w:rFonts w:ascii="SimSun" w:hAnsi="SimSun" w:eastAsia="SimSun" w:cs="SimSun"/>
                <w:color w:val="000000"/>
                <w:sz w:val="21"/>
              </w:rPr>
              <w:t xml:space="preserve">光LED灯带。   </w:t>
            </w:r>
            <w:r/>
          </w:p>
          <w:p>
            <w:r>
              <w:rPr>
                <w:rFonts w:ascii="SimSun" w:hAnsi="SimSun" w:eastAsia="SimSun" w:cs="SimSun"/>
                <w:color w:val="000000"/>
                <w:sz w:val="21"/>
              </w:rPr>
              <w:t xml:space="preserve">3.最终尺寸经甲方确认后实施。</w:t>
            </w:r>
            <w:r/>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r>
      <w:tr>
        <w:trPr>
          <w:trHeight w:val="5000"/>
        </w:trPr>
        <w:tc>
          <w:tcPr>
            <w:shd w:val="clear" w:color="auto" w:fill="auto"/>
            <w:tcBorders>
              <w:top w:val="single" w:color="000000" w:sz="4" w:space="0"/>
              <w:left w:val="single" w:color="000000" w:sz="8"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控制台</w:t>
            </w:r>
            <w:r/>
          </w:p>
        </w:tc>
        <w:tc>
          <w:tcPr>
            <w:shd w:val="clear" w:color="auto" w:fill="auto"/>
            <w:tcBorders>
              <w:top w:val="single" w:color="000000" w:sz="4" w:space="0"/>
              <w:left w:val="single" w:color="000000" w:sz="4" w:space="0"/>
              <w:bottom w:val="single" w:color="000000" w:sz="4" w:space="0"/>
              <w:right w:val="single" w:color="000000" w:sz="4" w:space="0"/>
            </w:tcBorders>
            <w:tcW w:w="7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1.1席位定制专用研判控制台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控制台尺寸：1500*900*750mm(桌面到地面高度为750mm)控制席柜体：主框架整体采用钢铝混合结构，控制台每个席位由集成模块拼接成长度不小于1200mm，高度735mm，深度不小于1000mm，容膝深度不小于480mm，主体集成模块框架采用钢铝混合结构，主承重钢板采用Q235碳素结构钢,厚度不小于2.0mm，表面静电喷涂，包含上下横梁以及其他承重部分结构件，承重框架采用铝型材截面不小于40mm*40mm铝合金型材框架，铝合金型材四周需圆弧处理，通过专用链接构件进行连接，包含左右侧窗。通过通用连</w:t>
            </w:r>
            <w:r>
              <w:rPr>
                <w:rFonts w:ascii="SimSun" w:hAnsi="SimSun" w:eastAsia="SimSun" w:cs="SimSun"/>
                <w:color w:val="000000"/>
                <w:sz w:val="21"/>
              </w:rPr>
              <w:t xml:space="preserve">接件拼装再组成一个独立模块，各个模块之间通用部件一致可互换，整体连接后的各个模块间内部贯通，各种线缆在指挥调度控制设备内可以实现自由贯通。铝型材抗拉强度200Mpa以上，屈服强度150Mpa以上，每个舱体静态载荷可达100KG。控制台前台500mm每单元可承载40kg无变形，同时使设备柜内不会有刮手的利口，并且便于进行改造和扩充、而无需钻孔作业。门板采用不小于1.2mm结构钢成型，门板下方设有通风散热矩阵，门板采用304不锈钢静音阻尼铰链，通过特制连接模块悬挂于主框架上，使操作台外观更具有现代感，并且具备质</w:t>
            </w:r>
            <w:r>
              <w:rPr>
                <w:rFonts w:ascii="SimSun" w:hAnsi="SimSun" w:eastAsia="SimSun" w:cs="SimSun"/>
                <w:color w:val="000000"/>
                <w:sz w:val="21"/>
              </w:rPr>
              <w:t xml:space="preserve">量轻、结构力强、耐热、使设备散热更快的优点，解决了木质门板的通风散热及阻燃问题。台板：采用进口原材料SPC抗倍特板。采用不小于18mm抗倍特板，经过CNC精密加工成型，表面经过耐磨处理，防火阻燃，防潮耐刻划。抗倍特台板边沿手枕黑色鸭嘴型一次成型，手枕采用台板一体化延伸的台板边缘，非二次加装聚氨酯等封边材料。后屏风背墙：后屏风背墙固定结构件采用不小于10.0mmQ235 碳素结构钢，钣金制成通用连接件，具有高强度，抗变形等性能。具有高承载，后期悬挂显示器之后，无侧倾。后屏风采用横截面不小于50mm*150mm</w:t>
            </w:r>
            <w:r>
              <w:rPr>
                <w:rFonts w:ascii="SimSun" w:hAnsi="SimSun" w:eastAsia="SimSun" w:cs="SimSun"/>
                <w:color w:val="000000"/>
                <w:sz w:val="21"/>
              </w:rPr>
              <w:t xml:space="preserve">拉铝合金型材，表面经过静电喷涂着色，后屏风高度（不含有机玻璃）不小于230mm，后屏风固定在后梁上，后屏风型材与后梁结构件通过特制连接模块可实现快速紧固连接，安装完毕后形成一体。台面设有毛刷出线槽，出现槽整体采用铝合金型材，宽度不小于80mm，表面经过喷涂，满足日常工作设备走线需求，电子设备舱内左右联通贯穿，上方设有走线桥架。侧板：采用优质冷轧钢板制作成型，表面金属喷涂黑色+白色亚克力：屏风上部采用10mm高透亚克力，四周经CNC切割成型，四周钻石抛光处理，可以根据客户席位功能进行DVT精雕立体字，内嵌蓝光</w:t>
            </w:r>
            <w:r>
              <w:rPr>
                <w:rFonts w:ascii="SimSun" w:hAnsi="SimSun" w:eastAsia="SimSun" w:cs="SimSun"/>
                <w:color w:val="000000"/>
                <w:sz w:val="21"/>
              </w:rPr>
              <w:t xml:space="preserve">LED灯带。   </w:t>
            </w:r>
            <w:r/>
          </w:p>
          <w:p>
            <w:r>
              <w:rPr>
                <w:rFonts w:ascii="SimSun" w:hAnsi="SimSun" w:eastAsia="SimSun" w:cs="SimSun"/>
                <w:color w:val="000000"/>
                <w:sz w:val="21"/>
              </w:rPr>
              <w:t xml:space="preserve">3.最终尺寸经甲方确认后实施。</w:t>
            </w:r>
            <w:r/>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 </w:t>
            </w:r>
            <w:r/>
          </w:p>
        </w:tc>
      </w:tr>
      <w:tr>
        <w:trPr>
          <w:trHeight w:val="5040"/>
        </w:trPr>
        <w:tc>
          <w:tcPr>
            <w:shd w:val="clear" w:color="auto" w:fill="auto"/>
            <w:tcBorders>
              <w:top w:val="single" w:color="000000" w:sz="4" w:space="0"/>
              <w:left w:val="single" w:color="000000" w:sz="8"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控制台</w:t>
            </w:r>
            <w:r/>
          </w:p>
        </w:tc>
        <w:tc>
          <w:tcPr>
            <w:shd w:val="clear" w:color="auto" w:fill="auto"/>
            <w:tcBorders>
              <w:top w:val="single" w:color="000000" w:sz="4" w:space="0"/>
              <w:left w:val="single" w:color="000000" w:sz="4" w:space="0"/>
              <w:bottom w:val="single" w:color="000000" w:sz="4" w:space="0"/>
              <w:right w:val="single" w:color="000000" w:sz="4" w:space="0"/>
            </w:tcBorders>
            <w:tcW w:w="72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1.会议桌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控制台尺寸：4500*1600*750mm(桌面到地面高度为750mm)；控制席柜体：主框架整体采用钢铝混合结构，控制台每个席位由集成模块拼接成长度不小于1200mm，高度735mm，深度不小于1000mm，容膝深度不小于480mm，主体集成模块框架采用钢铝混合结构，主承重钢板采用Q235碳素结构钢,厚度不小于2.0mm，表面静电喷涂，包含上下横梁以及其他承重部分结构件，承重框架采用铝型材截面不小于40mm*40mm铝合金型材框架，铝合金型材四周需圆弧处理，通过专用链接构件进行连接，包含左右侧窗。通过通</w:t>
            </w:r>
            <w:r>
              <w:rPr>
                <w:rFonts w:ascii="SimSun" w:hAnsi="SimSun" w:eastAsia="SimSun" w:cs="SimSun"/>
                <w:color w:val="000000"/>
                <w:sz w:val="21"/>
              </w:rPr>
              <w:t xml:space="preserve">用连接件拼装再组成一个独立模块，各个模块之间通用部件一致可互换，整体连接后的各个模块间内部贯通，各种线缆在指挥调度控制设备内可以实现自由贯通。铝型材抗拉强度200Mpa以上，屈服强度150Mpa以上，每个舱体静态载荷可达100KG。控制台前台500mm每单元可承载40kg无变形，同时使设备柜内不会有刮手的利口，并且便于进行改造和扩充、而无需钻孔作业。门板采用不小于1.2mm结构钢成型，门板下方设有通风散热矩阵，门板采用304不锈钢静音阻尼铰链，通过特制连接模块悬挂于主框架上，使操作台外观更具有现代感，并且具</w:t>
            </w:r>
            <w:r>
              <w:rPr>
                <w:rFonts w:ascii="SimSun" w:hAnsi="SimSun" w:eastAsia="SimSun" w:cs="SimSun"/>
                <w:color w:val="000000"/>
                <w:sz w:val="21"/>
              </w:rPr>
              <w:t xml:space="preserve">备质量轻、结构力强、耐热、使设备散热更快的优点，解决了木质门板的通风散热及阻燃问题。台板：采用进口原材料SPC抗倍特板。采用不小于18mm抗倍特板，经过CNC精密加工成型，表面经过耐磨处理，防火阻燃，防潮耐刻划。抗倍特台板边沿手枕黑色鸭嘴型一次成型，手枕采用台板一体化延伸的台板边缘，非二次加装聚氨酯等封边材料。后屏风背墙：后屏风背墙固定结构件采用不小于10.0mmQ235碳素结构钢，钣金制成通用连接件，具有高强度，抗变形等性能。具有高承载，后期悬挂显示器之后，无侧倾。后屏风采用横截面不小于50mm*150m</w:t>
            </w:r>
            <w:r>
              <w:rPr>
                <w:rFonts w:ascii="SimSun" w:hAnsi="SimSun" w:eastAsia="SimSun" w:cs="SimSun"/>
                <w:color w:val="000000"/>
                <w:sz w:val="21"/>
              </w:rPr>
              <w:t xml:space="preserve">m拉铝合金型材，表面经过静电喷涂着色，后屏风高度（不含有机玻璃）不小于230mm，后屏风固定在后梁上，后屏风型材与后梁结构件通过特制连接模块可实现快速紧固连接，安装完毕后形成一体。台面设有毛刷出线槽，出现槽整体采用铝合金型材，宽度不小于80mm，表面经过喷涂，满足日常工作设备走线需求，电子设备舱内左右联通贯穿，上方设有走线桥架。侧板：采用优质冷轧钢板制作成型，表面金属喷涂黑色+白色亚克力：屏风上部采用10mm高透亚克力，四周经CNC切割成型，四周钻石抛光处理，可以根据客户席位功能进行DVT精雕立体字，内嵌蓝</w:t>
            </w:r>
            <w:r>
              <w:rPr>
                <w:rFonts w:ascii="SimSun" w:hAnsi="SimSun" w:eastAsia="SimSun" w:cs="SimSun"/>
                <w:color w:val="000000"/>
                <w:sz w:val="21"/>
              </w:rPr>
              <w:t xml:space="preserve">光LED灯带。    </w:t>
            </w:r>
            <w:r/>
          </w:p>
          <w:p>
            <w:r>
              <w:rPr>
                <w:rFonts w:ascii="SimSun" w:hAnsi="SimSun" w:eastAsia="SimSun" w:cs="SimSun"/>
                <w:color w:val="000000"/>
                <w:sz w:val="21"/>
              </w:rPr>
              <w:t xml:space="preserve">3.最终尺寸经甲方确认后实施。</w:t>
            </w:r>
            <w:r/>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r>
      <w:tr>
        <w:trPr>
          <w:trHeight w:val="640"/>
        </w:trPr>
        <w:tc>
          <w:tcPr>
            <w:shd w:val="clear" w:color="auto" w:fill="auto"/>
            <w:tcBorders>
              <w:top w:val="single" w:color="000000" w:sz="4" w:space="0"/>
              <w:left w:val="single" w:color="000000" w:sz="8"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设备支架</w:t>
            </w:r>
            <w:r/>
          </w:p>
        </w:tc>
        <w:tc>
          <w:tcPr>
            <w:shd w:val="clear" w:color="auto" w:fill="auto"/>
            <w:tcBorders>
              <w:top w:val="single" w:color="000000" w:sz="4" w:space="0"/>
              <w:left w:val="single" w:color="000000" w:sz="4" w:space="0"/>
              <w:bottom w:val="single" w:color="000000" w:sz="4" w:space="0"/>
              <w:right w:val="single" w:color="000000" w:sz="4" w:space="0"/>
            </w:tcBorders>
            <w:tcW w:w="7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1.材质:控制台专用显示器支架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2.形式:定制</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 </w:t>
            </w:r>
            <w:r/>
          </w:p>
        </w:tc>
      </w:tr>
      <w:tr>
        <w:trPr>
          <w:trHeight w:val="620"/>
        </w:trPr>
        <w:tc>
          <w:tcPr>
            <w:shd w:val="clear" w:color="auto" w:fill="auto"/>
            <w:tcBorders>
              <w:top w:val="single" w:color="000000" w:sz="4" w:space="0"/>
              <w:left w:val="single" w:color="000000" w:sz="8"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w:t>
            </w:r>
            <w:r/>
          </w:p>
        </w:tc>
        <w:tc>
          <w:tcPr>
            <w:shd w:val="clear" w:color="auto" w:fill="auto"/>
            <w:tcBorders>
              <w:top w:val="single" w:color="000000" w:sz="4" w:space="0"/>
              <w:left w:val="single" w:color="000000" w:sz="4" w:space="0"/>
              <w:bottom w:val="single" w:color="000000" w:sz="4" w:space="0"/>
              <w:right w:val="single" w:color="000000" w:sz="4" w:space="0"/>
            </w:tcBorders>
            <w:tcW w:w="7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1.材料种类、规格:控制台专用警徽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2.锌合金模具成型，表面电镀处理</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 </w:t>
            </w:r>
            <w:r/>
          </w:p>
        </w:tc>
      </w:tr>
      <w:tr>
        <w:trPr>
          <w:trHeight w:val="1000"/>
        </w:trPr>
        <w:tc>
          <w:tcPr>
            <w:shd w:val="clear" w:color="auto" w:fill="auto"/>
            <w:tcBorders>
              <w:top w:val="single" w:color="000000" w:sz="4" w:space="0"/>
              <w:left w:val="single" w:color="000000" w:sz="8"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7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1.名称：会议椅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2.规格：宽大厚实靠背头枕，表面进口皮革包裹，环保无甲醛、座配高回弹定型棉，包裹式靠背贴合腰椎设计，缓冲腰部压力，可以开启逍遥功能，最大可支持145°后仰范围，升降滑板多功能底盘</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 </w:t>
            </w:r>
            <w:r/>
          </w:p>
        </w:tc>
      </w:tr>
      <w:tr>
        <w:trPr>
          <w:trHeight w:val="800"/>
        </w:trPr>
        <w:tc>
          <w:tcPr>
            <w:shd w:val="clear" w:color="auto" w:fill="auto"/>
            <w:tcBorders>
              <w:top w:val="single" w:color="000000" w:sz="4" w:space="0"/>
              <w:left w:val="single" w:color="000000" w:sz="8"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人体工学办公椅</w:t>
            </w:r>
            <w:r/>
          </w:p>
        </w:tc>
        <w:tc>
          <w:tcPr>
            <w:shd w:val="clear" w:color="auto" w:fill="auto"/>
            <w:tcBorders>
              <w:top w:val="single" w:color="000000" w:sz="4" w:space="0"/>
              <w:left w:val="single" w:color="000000" w:sz="4" w:space="0"/>
              <w:bottom w:val="single" w:color="000000" w:sz="4" w:space="0"/>
              <w:right w:val="single" w:color="000000" w:sz="4" w:space="0"/>
            </w:tcBorders>
            <w:tcW w:w="7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1.名称：人体工学办公椅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2.规格：头背配高弹性特网、座配高回弹定型棉，黑色工程塑料背框，背配升降功能电镀连接杆，扶手配PU扶手面，3个定位带滑板多功能底盘，350MM聚氨酯五星脚，50MMPU 轮子</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 </w:t>
            </w:r>
            <w:r/>
          </w:p>
        </w:tc>
      </w:tr>
      <w:tr>
        <w:trPr>
          <w:trHeight w:val="860"/>
        </w:trPr>
        <w:tc>
          <w:tcPr>
            <w:shd w:val="clear" w:color="auto" w:fill="auto"/>
            <w:tcBorders>
              <w:top w:val="single" w:color="000000" w:sz="4" w:space="0"/>
              <w:left w:val="single" w:color="000000" w:sz="8"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人体工学办公椅</w:t>
            </w:r>
            <w:r/>
          </w:p>
        </w:tc>
        <w:tc>
          <w:tcPr>
            <w:shd w:val="clear" w:color="auto" w:fill="auto"/>
            <w:tcBorders>
              <w:top w:val="single" w:color="000000" w:sz="4" w:space="0"/>
              <w:left w:val="single" w:color="000000" w:sz="4" w:space="0"/>
              <w:bottom w:val="single" w:color="000000" w:sz="4" w:space="0"/>
              <w:right w:val="single" w:color="000000" w:sz="4" w:space="0"/>
            </w:tcBorders>
            <w:tcW w:w="72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1.名称：人体工学办公椅(带腿托）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2.规格：头背配高弹性特网、座配高回弹定型棉，黑色工程塑料背框，背配升降功能电镀连接杆，扶手配PU扶手面，3个定位带滑板多功能底盘，350MM聚氨酯五星脚，50MMPU 轮子</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 </w:t>
            </w:r>
            <w:r/>
          </w:p>
        </w:tc>
      </w:tr>
    </w:tbl>
    <w:p>
      <w:pPr>
        <w:pStyle w:val="1100"/>
        <w:contextualSpacing/>
        <w:ind w:firstLine="482"/>
        <w:spacing w:line="360" w:lineRule="auto"/>
        <w:rPr>
          <w:rFonts w:hint="default" w:ascii="宋体" w:hAnsi="宋体" w:cs="宋体"/>
          <w:b/>
          <w:color w:val="000000"/>
          <w:sz w:val="24"/>
          <w:szCs w:val="24"/>
          <w:lang w:val="en-US" w:eastAsia="zh-CN"/>
        </w:rPr>
      </w:pPr>
      <w:r>
        <w:rPr>
          <w:rFonts w:hint="eastAsia" w:ascii="宋体" w:hAnsi="宋体" w:cs="宋体"/>
          <w:b/>
          <w:color w:val="000000"/>
          <w:sz w:val="24"/>
          <w:szCs w:val="24"/>
          <w:lang w:val="en-US" w:eastAsia="zh-CN"/>
        </w:rPr>
        <w:t xml:space="preserve">注：图纸未示意尺寸的最终以甲方确认的尺寸为准。</w:t>
      </w:r>
      <w:r/>
    </w:p>
    <w:p>
      <w:pPr>
        <w:pStyle w:val="1100"/>
        <w:contextualSpacing/>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lang w:val="en-US" w:eastAsia="zh-CN"/>
        </w:rPr>
        <w:t xml:space="preserve">五</w:t>
      </w:r>
      <w:r>
        <w:rPr>
          <w:rFonts w:hint="eastAsia" w:ascii="宋体" w:hAnsi="宋体" w:cs="宋体"/>
          <w:b/>
          <w:color w:val="000000"/>
          <w:sz w:val="24"/>
          <w:szCs w:val="24"/>
        </w:rPr>
        <w:t xml:space="preserve">、验收标准</w:t>
      </w:r>
      <w:r/>
    </w:p>
    <w:p>
      <w:pPr>
        <w:ind w:firstLine="480"/>
        <w:keepLines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1.成交供应商在交货时，需向采购人提供装箱清单和</w:t>
      </w:r>
      <w:r>
        <w:rPr>
          <w:rFonts w:hint="eastAsia" w:ascii="宋体" w:hAnsi="宋体" w:cs="宋体"/>
          <w:color w:val="auto"/>
          <w:sz w:val="24"/>
          <w:szCs w:val="24"/>
          <w:highlight w:val="none"/>
          <w:lang w:val="en-US" w:eastAsia="zh-CN" w:bidi="ar-SA"/>
        </w:rPr>
        <w:t xml:space="preserve">产品</w:t>
      </w:r>
      <w:r>
        <w:rPr>
          <w:rFonts w:hint="eastAsia" w:ascii="宋体" w:hAnsi="宋体" w:eastAsia="宋体" w:cs="宋体"/>
          <w:color w:val="auto"/>
          <w:sz w:val="24"/>
          <w:szCs w:val="24"/>
          <w:highlight w:val="none"/>
          <w:lang w:val="en-US" w:eastAsia="zh-CN" w:bidi="ar-SA"/>
        </w:rPr>
        <w:t xml:space="preserve">合格证。</w:t>
      </w:r>
      <w:r/>
    </w:p>
    <w:p>
      <w:pPr>
        <w:ind w:firstLine="480"/>
        <w:keepLines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产品所选用主材、辅材须达到或超过本采购文件和国家相关规定的要求。采购人在认为有必要时可对中标产品相应主材、辅材进行检测，如检测不符合国家相应标准或采购文件中设定的标准，将判定所供设备不合格，同时成交供应商必须承担由此给采购人造成的损失；如检测符合国家相应标准或招标文件中设定的标准，其检测</w:t>
      </w:r>
      <w:r>
        <w:rPr>
          <w:rFonts w:hint="eastAsia" w:ascii="宋体" w:hAnsi="宋体" w:cs="宋体"/>
          <w:color w:val="auto"/>
          <w:sz w:val="24"/>
          <w:szCs w:val="24"/>
          <w:highlight w:val="none"/>
          <w:lang w:val="en-US" w:eastAsia="zh-CN" w:bidi="ar-SA"/>
        </w:rPr>
        <w:t xml:space="preserve">费用</w:t>
      </w:r>
      <w:r>
        <w:rPr>
          <w:rFonts w:hint="eastAsia" w:ascii="宋体" w:hAnsi="宋体" w:eastAsia="宋体" w:cs="宋体"/>
          <w:color w:val="auto"/>
          <w:sz w:val="24"/>
          <w:szCs w:val="24"/>
          <w:highlight w:val="none"/>
          <w:lang w:val="en-US" w:eastAsia="zh-CN" w:bidi="ar-SA"/>
        </w:rPr>
        <w:t xml:space="preserve">由采购人承担。</w:t>
      </w:r>
      <w:r/>
    </w:p>
    <w:p>
      <w:pPr>
        <w:ind w:firstLine="480"/>
        <w:keepLines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3.对货物安装验收不合格时，成交供应商应予以免费调换，直至符合规定，采购人不承担因调退货而发生的任何费用和责任，如因货物质量给采购人带来的损失，成交供应商还应赔偿采购人直接损失费用。</w:t>
      </w:r>
      <w:r/>
    </w:p>
    <w:p>
      <w:pPr>
        <w:ind w:firstLine="480"/>
        <w:keepLines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4.经履约验收，产品性能参数达不到采购合同要求的，采购人可以拒收，并可以解除合同。</w:t>
      </w:r>
      <w:r/>
    </w:p>
    <w:p>
      <w:pPr>
        <w:pStyle w:val="1100"/>
        <w:contextualSpacing/>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lang w:val="en-US" w:eastAsia="zh-CN"/>
        </w:rPr>
        <w:t xml:space="preserve">六</w:t>
      </w:r>
      <w:r>
        <w:rPr>
          <w:rFonts w:hint="eastAsia" w:ascii="宋体" w:hAnsi="宋体" w:cs="宋体"/>
          <w:b/>
          <w:color w:val="000000"/>
          <w:sz w:val="24"/>
          <w:szCs w:val="24"/>
        </w:rPr>
        <w:t xml:space="preserve">、质保及售后服务要求</w:t>
      </w:r>
      <w:r/>
    </w:p>
    <w:p>
      <w:pPr>
        <w:ind w:firstLine="480"/>
        <w:keepLines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质保期：本项目免费质量保修保养期2年，计算期自货物安装并验收合格、正式交付使用之日起计算。质保期内的日常维护及保养工作免费。成交供应商须委派指定的技术人员定期进行维护保养。</w:t>
      </w:r>
      <w:r/>
    </w:p>
    <w:p>
      <w:pPr>
        <w:ind w:firstLine="480"/>
        <w:keepLines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所有货物在使用期限内由于其本身的缺陷或质量问题造成的任何故障或损坏，不管是否在质保期内，成交供应商必须及时维修或更换，一切费用由成交供应商承担。</w:t>
      </w:r>
      <w:r/>
    </w:p>
    <w:p>
      <w:pPr>
        <w:ind w:firstLine="480"/>
        <w:keepLines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维修服务要求1小时响应。在接到报修通知后12小时内到现场服务并连续进行，直至故障排除完全恢复正常使用为止。无特殊情况下，所有维修要求必须在48小时内完全得到解决。维修机构必须备有足够的备品备件，以满足采购人对维修的要求。质保期内应免费提供，在免费质保期满后三年内价格不变。</w:t>
      </w:r>
      <w:r>
        <w:rPr>
          <w:rFonts w:hint="eastAsia" w:ascii="宋体" w:hAnsi="宋体" w:cs="宋体"/>
          <w:b/>
          <w:bCs/>
          <w:color w:val="auto"/>
          <w:sz w:val="24"/>
          <w:szCs w:val="24"/>
          <w:highlight w:val="none"/>
          <w:lang w:val="en-US" w:eastAsia="zh-CN" w:bidi="ar-SA"/>
        </w:rPr>
        <w:t xml:space="preserve">（提供承诺书加盖供应商公章）</w:t>
      </w:r>
      <w:r/>
    </w:p>
    <w:p>
      <w:pPr>
        <w:ind w:firstLine="480"/>
        <w:keepLines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在质保期满后，货物出现故障时，成交供应商仍需做好售后服务，并在上述时限内赶到现场，及时处理解决。</w:t>
      </w:r>
      <w:r/>
    </w:p>
    <w:p>
      <w:pPr>
        <w:ind w:firstLine="480"/>
        <w:keepLines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成交供应商在实施项目过程</w:t>
      </w:r>
      <w:r>
        <w:rPr>
          <w:rFonts w:hint="eastAsia" w:ascii="宋体" w:hAnsi="宋体" w:cs="宋体"/>
          <w:color w:val="auto"/>
          <w:sz w:val="24"/>
          <w:szCs w:val="24"/>
          <w:highlight w:val="none"/>
          <w:lang w:val="en-US" w:eastAsia="zh-CN" w:bidi="ar-SA"/>
        </w:rPr>
        <w:t xml:space="preserve">中</w:t>
      </w:r>
      <w:r>
        <w:rPr>
          <w:rFonts w:hint="eastAsia" w:ascii="宋体" w:hAnsi="宋体" w:eastAsia="宋体" w:cs="宋体"/>
          <w:color w:val="auto"/>
          <w:sz w:val="24"/>
          <w:szCs w:val="24"/>
          <w:highlight w:val="none"/>
          <w:lang w:val="en-US" w:eastAsia="zh-CN" w:bidi="ar-SA"/>
        </w:rPr>
        <w:t xml:space="preserve">出现的安全事故由成交供应商自行负责。</w:t>
      </w:r>
      <w:r/>
    </w:p>
    <w:p>
      <w:pPr>
        <w:ind w:firstLine="480"/>
        <w:keepLines w:val="0"/>
        <w:pageBreakBefore w:val="0"/>
        <w:spacing w:line="360" w:lineRule="auto"/>
        <w:rPr>
          <w:rFonts w:hint="default"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七、技术评审要求（服务方案）</w:t>
      </w:r>
      <w:r/>
    </w:p>
    <w:p>
      <w:pPr>
        <w:ind w:firstLine="480"/>
        <w:keepLines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rPr>
        <w:t xml:space="preserve">项目总体</w:t>
      </w:r>
      <w:r>
        <w:rPr>
          <w:rFonts w:hint="eastAsia" w:ascii="宋体" w:hAnsi="宋体" w:eastAsia="宋体" w:cs="宋体"/>
          <w:color w:val="auto"/>
          <w:sz w:val="24"/>
          <w:szCs w:val="24"/>
          <w:highlight w:val="none"/>
          <w:lang w:val="en-US" w:eastAsia="zh-CN"/>
        </w:rPr>
        <w:t xml:space="preserve">实施供货方案</w:t>
      </w:r>
      <w:r/>
    </w:p>
    <w:p>
      <w:p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根据采购需求和本项目实际，制定相应的项目实施方案，方案至少包含以下几点：</w:t>
      </w:r>
      <w:r/>
    </w:p>
    <w:p>
      <w:p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（1）项目需求理解与项目概况分析</w:t>
      </w:r>
      <w:r/>
    </w:p>
    <w:p>
      <w:p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精准阐述反诈中心调度操控场景功能需求、场地适配需求、公安反诈工作使用特性，结合控制台、会议桌椅使用场景详细分析。</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（2）项目整体实施架构与总体思路</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方案明确项目设计、生产、供货、运输、安装、调试、验收全流程架构，实施逻辑清晰、分工明确、贴合指挥室标准化建设要求。</w:t>
      </w:r>
      <w:r/>
    </w:p>
    <w:p>
      <w:pPr>
        <w:numPr>
          <w:ilvl w:val="0"/>
          <w:numId w:val="6"/>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项目重难点分析及专项应对方案</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精准识别反诈指挥调度室场地布局、设备适配、静音施工、工期紧张、成品保护、系统适配等重难点，每一项重难点均配有具体、可落地的专项解决措施，方案专业完善。</w:t>
      </w:r>
      <w:r/>
    </w:p>
    <w:p>
      <w:pPr>
        <w:numPr>
          <w:ilvl w:val="0"/>
          <w:numId w:val="0"/>
        </w:num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质量保证措施</w:t>
      </w:r>
      <w:r/>
    </w:p>
    <w:p>
      <w:p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根据采购需求和本项目实际，制定相应的</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质量保证措施</w:t>
      </w:r>
      <w:r>
        <w:rPr>
          <w:rFonts w:hint="eastAsia" w:ascii="宋体" w:hAnsi="宋体" w:cs="宋体"/>
          <w:color w:val="auto"/>
          <w:sz w:val="24"/>
          <w:szCs w:val="24"/>
          <w:highlight w:val="none"/>
          <w:lang w:val="en-US" w:eastAsia="zh-CN" w:bidi="ar-SA"/>
        </w:rPr>
        <w:t xml:space="preserve">，方案至少包含以下几点：</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（1）质量管理体系认证及制度保障</w:t>
      </w:r>
      <w:r/>
    </w:p>
    <w:p>
      <w:pPr>
        <w:numPr>
          <w:ilvl w:val="0"/>
          <w:numId w:val="0"/>
        </w:numPr>
        <w:ind w:firstLine="480"/>
        <w:keepLines w:val="0"/>
        <w:pageBreakBefore w:val="0"/>
        <w:spacing w:line="360" w:lineRule="auto"/>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具备有效的ISO9001质量管理体系、ISO14001环境管理体系、ISO45001职业健康安全管理体系证书，且在有效期内，同时提供完善的工厂质量管控制度。</w:t>
      </w:r>
      <w:r/>
    </w:p>
    <w:p>
      <w:pPr>
        <w:numPr>
          <w:ilvl w:val="0"/>
          <w:numId w:val="7"/>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原材料选材质量管控措施</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明确控制台主框架、台面板材、五金配件、会议椅海绵、皮革、五金等所有主材、辅材的原材料进场验收、抽检、溯源机制完善。</w:t>
      </w:r>
      <w:r/>
    </w:p>
    <w:p>
      <w:pPr>
        <w:numPr>
          <w:ilvl w:val="0"/>
          <w:numId w:val="7"/>
        </w:numPr>
        <w:ind w:left="0"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生产过程质量把控措施</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详细公示生产工序质控节点，设置多级质检岗位、工序自检、互检、专检机制，生产全过程可追溯，针对控制台承重、防静电、防变形、桌椅稳固性有专项质控方案。</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（4）出厂检测及成品验收标准</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提供完整的产品出厂检测项目清单，附带成品出厂验收标准、检测记录模板。</w:t>
      </w:r>
      <w:r/>
    </w:p>
    <w:p>
      <w:pPr>
        <w:numPr>
          <w:ilvl w:val="0"/>
          <w:numId w:val="0"/>
        </w:numPr>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（5）运输及现场成品保护质量措施</w:t>
      </w:r>
      <w:r/>
    </w:p>
    <w:p>
      <w:pPr>
        <w:numPr>
          <w:ilvl w:val="0"/>
          <w:numId w:val="0"/>
        </w:num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针对大件控制台、会议桌椅定制防震、防刮、防潮包装方案，明确运输防护、现场堆放、二次搬运、安装期间成品保护措施，杜绝磕碰、变形、划痕污染的措施。</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进度计划</w:t>
      </w:r>
      <w:r>
        <w:rPr>
          <w:rFonts w:hint="eastAsia" w:ascii="宋体" w:hAnsi="宋体" w:eastAsia="宋体" w:cs="宋体"/>
          <w:color w:val="auto"/>
          <w:sz w:val="24"/>
          <w:szCs w:val="24"/>
          <w:highlight w:val="none"/>
          <w:lang w:val="en-US" w:eastAsia="zh-CN"/>
        </w:rPr>
        <w:t xml:space="preserve">实施方案</w:t>
      </w:r>
      <w:r/>
    </w:p>
    <w:p>
      <w:p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根据采购需求和本项目实际，制定相应的</w:t>
      </w:r>
      <w:r>
        <w:rPr>
          <w:rFonts w:hint="eastAsia" w:ascii="宋体" w:hAnsi="宋体" w:eastAsia="宋体" w:cs="宋体"/>
          <w:color w:val="auto"/>
          <w:sz w:val="24"/>
          <w:szCs w:val="24"/>
          <w:highlight w:val="none"/>
        </w:rPr>
        <w:t xml:space="preserve">进度计划</w:t>
      </w:r>
      <w:r>
        <w:rPr>
          <w:rFonts w:hint="eastAsia" w:ascii="宋体" w:hAnsi="宋体" w:eastAsia="宋体" w:cs="宋体"/>
          <w:color w:val="auto"/>
          <w:sz w:val="24"/>
          <w:szCs w:val="24"/>
          <w:highlight w:val="none"/>
          <w:lang w:val="en-US" w:eastAsia="zh-CN"/>
        </w:rPr>
        <w:t xml:space="preserve">实施方案</w:t>
      </w:r>
      <w:r>
        <w:rPr>
          <w:rFonts w:hint="eastAsia" w:ascii="宋体" w:hAnsi="宋体" w:cs="宋体"/>
          <w:color w:val="auto"/>
          <w:sz w:val="24"/>
          <w:szCs w:val="24"/>
          <w:highlight w:val="none"/>
          <w:lang w:val="en-US" w:eastAsia="zh-CN" w:bidi="ar-SA"/>
        </w:rPr>
        <w:t xml:space="preserve">，方案至少包含以下几点：</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（1）整体工期规划与分段节点细化</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结合项目需求制定总工期计划表，精准拆分深化设计、原料采购、工厂生产、物流运输、进场施工、安装调试、清洁收尾、竣工验收8个关键节点，明确每个节点起止时间、交付成果。</w:t>
      </w:r>
      <w:r/>
    </w:p>
    <w:p>
      <w:pPr>
        <w:numPr>
          <w:ilvl w:val="0"/>
          <w:numId w:val="8"/>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人力、设备、物资进度保障措施</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根据施工工期配置专项项目负责人、技术人员、安装班组、售后人员，明确人员岗位职责、到场时间，配套施工工具、运输设备、备货计划齐全，可保障工期稳步推进。</w:t>
      </w:r>
      <w:r/>
    </w:p>
    <w:p>
      <w:pPr>
        <w:numPr>
          <w:ilvl w:val="0"/>
          <w:numId w:val="8"/>
        </w:numPr>
        <w:ind w:left="0"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进度动态管控与日常调度机制</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建立每日施工报备、每周进度复盘制度，设置进度滞后预警机制，可实时跟踪生产、进场、安装进度，具备进度纠偏、工序调整方案。</w:t>
      </w:r>
      <w:r/>
    </w:p>
    <w:p>
      <w:pPr>
        <w:numPr>
          <w:ilvl w:val="0"/>
          <w:numId w:val="8"/>
        </w:numPr>
        <w:ind w:left="0"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工期延误应急保障预案</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针对天气、场地条件、物流、配件短缺等突发情况制定专项工期应急预案，明确赶工措施、备用货源、替补施工班组方案，可有效化解工期风险。</w:t>
      </w:r>
      <w:r/>
    </w:p>
    <w:p>
      <w:pPr>
        <w:numPr>
          <w:ilvl w:val="0"/>
          <w:numId w:val="9"/>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现场安装技术方案</w:t>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根据采购需求和本项目实际，制定相应的</w:t>
      </w:r>
      <w:r>
        <w:rPr>
          <w:rFonts w:hint="eastAsia" w:ascii="宋体" w:hAnsi="宋体" w:eastAsia="宋体" w:cs="宋体"/>
          <w:color w:val="auto"/>
          <w:sz w:val="24"/>
          <w:szCs w:val="24"/>
          <w:highlight w:val="none"/>
          <w:lang w:val="en-US" w:eastAsia="zh-CN"/>
        </w:rPr>
        <w:t xml:space="preserve">现场安装技术方案</w:t>
      </w:r>
      <w:r>
        <w:rPr>
          <w:rFonts w:hint="eastAsia" w:ascii="宋体" w:hAnsi="宋体" w:cs="宋体"/>
          <w:color w:val="auto"/>
          <w:sz w:val="24"/>
          <w:szCs w:val="24"/>
          <w:highlight w:val="none"/>
          <w:lang w:val="en-US" w:eastAsia="zh-CN" w:bidi="ar-SA"/>
        </w:rPr>
        <w:t xml:space="preserve">，方案至少包含以下几点：</w:t>
      </w:r>
      <w:r>
        <w:rPr>
          <w:rFonts w:hint="eastAsia" w:ascii="宋体" w:hAnsi="宋体" w:cs="宋体"/>
          <w:color w:val="auto"/>
          <w:sz w:val="24"/>
          <w:szCs w:val="24"/>
          <w:highlight w:val="none"/>
          <w:lang w:val="en-US" w:eastAsia="zh-CN" w:bidi="ar-SA"/>
        </w:rPr>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（1）前期现场勘测与适配优化方案</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明确进场前场地尺寸复测、地面找平、墙体点位、场地动线勘测流程，根据现场实际尺寸对控制台、会议桌椅布局进行优化微调。</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（2）标准化安装施工工艺流程</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详细编写完整施工工序，每道工序明确工艺标准、精度要求、施工规范。</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（3）现场安全及文明施工措施</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制定室内施工安全规范，包含用电安全、场地防护、防尘降噪、封闭施工措施，落实办公区域文明施工要求，无噪音扰民、无建筑垃圾堆积、不影响单位正常办公。</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（4）现场调试、校准及自检方案</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安装完成后开展整体水平度、稳固性、平整度、缝隙一致性专项调试自检，对控制台操作舒适度、桌椅使用稳定性全面核验，出具现场自检报告，合格后方可提请甲方验收。</w:t>
      </w:r>
      <w:r/>
    </w:p>
    <w:p>
      <w:pPr>
        <w:numPr>
          <w:ilvl w:val="0"/>
          <w:numId w:val="9"/>
        </w:num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p>
      <w:pPr>
        <w:numPr>
          <w:ilvl w:val="0"/>
          <w:numId w:val="0"/>
        </w:numPr>
        <w:jc w:val="both"/>
        <w:keepLines w:val="0"/>
        <w:keepNext w:val="0"/>
        <w:pageBreakBefore w:val="0"/>
        <w:spacing w:line="360" w:lineRule="auto"/>
        <w:widowControl w:val="off"/>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根据采购需求和本项目实际，制定相应的</w:t>
      </w:r>
      <w:r>
        <w:rPr>
          <w:rFonts w:hint="eastAsia" w:ascii="宋体" w:hAnsi="宋体" w:eastAsia="宋体" w:cs="宋体"/>
          <w:color w:val="auto"/>
          <w:sz w:val="24"/>
          <w:szCs w:val="24"/>
          <w:highlight w:val="none"/>
        </w:rPr>
        <w:t xml:space="preserve">售后服务方案</w:t>
      </w:r>
      <w:r>
        <w:rPr>
          <w:rFonts w:hint="eastAsia" w:ascii="宋体" w:hAnsi="宋体" w:cs="宋体"/>
          <w:color w:val="auto"/>
          <w:sz w:val="24"/>
          <w:szCs w:val="24"/>
          <w:highlight w:val="none"/>
          <w:lang w:val="en-US" w:eastAsia="zh-CN" w:bidi="ar-SA"/>
        </w:rPr>
        <w:t xml:space="preserve">，方案至少包含以下几点：</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（1）质保期服务标准</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承诺整体项目≥2年免费质保，核心框架结构终身维护，质保期内非人为损坏免费更换配件、免费维修，明确质保范围、质保责任。</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（2）故障响应及维修时效</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 承诺7×24小时技术咨询服务，本地驻场服务，故障报修1小时内响应、12小时内到场、48小时内修复，重大故障提供备用设备保障工作正常开展。</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（3）定期巡检维护服务</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质保期内每季度1次上门巡检、清洁、紧固、调试保养，出具巡检报告，质保期结束提供整体设备检测评估报告。</w:t>
      </w:r>
      <w:r/>
    </w:p>
    <w:p>
      <w:pPr>
        <w:numPr>
          <w:ilvl w:val="0"/>
          <w:numId w:val="0"/>
        </w:numPr>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（4）用户培训及技术交底服务</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免费为使用单位提供现场操作、日常维护、清洁保养、简单故障排查专项培训，提供纸质+电子使用说明书、技术交底资料。</w:t>
      </w:r>
      <w:r/>
    </w:p>
    <w:p>
      <w:pPr>
        <w:numPr>
          <w:ilvl w:val="0"/>
          <w:numId w:val="8"/>
        </w:numPr>
        <w:ind w:left="0"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备品备件及终身售后保障</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承诺长期提供原厂备品备件，质保期外终身成本价维修、配件更换，建立项目专属售后档案，全程跟踪服务。</w:t>
      </w:r>
      <w:r/>
    </w:p>
    <w:p>
      <w:pPr>
        <w:numPr>
          <w:ilvl w:val="0"/>
          <w:numId w:val="0"/>
        </w:numPr>
        <w:ind w:firstLine="480"/>
        <w:keepLines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r>
      <w:r/>
    </w:p>
    <w:p>
      <w:pPr>
        <w:pStyle w:val="1044"/>
        <w:jc w:val="center"/>
        <w:keepLines w:val="0"/>
        <w:keepNext w:val="0"/>
        <w:pageBreakBefore w:val="0"/>
        <w:spacing w:line="360" w:lineRule="auto"/>
        <w:widowControl w:val="off"/>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第五章  评审方法和评审标准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本次采购采用百分制综合评分法，即</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在最大限度地满足</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实质性要求的基础上，按照采购文件的各项因素进行综合评审后，总分设定为100分。磋商小组遵循公平、公正、择优原则，独立按照评分标准分别评定供应商的分值；各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的最终得分为各评委所评定分值的平均值，并按从高到低顺序排列，评审得分相同的，按照最后报价由低到高的顺序推荐；</w:t>
      </w:r>
      <w:r>
        <w:rPr>
          <w:rFonts w:hint="eastAsia" w:ascii="宋体" w:hAnsi="宋体" w:eastAsia="宋体" w:cs="宋体"/>
          <w:b/>
          <w:bCs/>
          <w:color w:val="auto"/>
          <w:sz w:val="24"/>
          <w:szCs w:val="24"/>
          <w:highlight w:val="none"/>
        </w:rPr>
        <w:t xml:space="preserve">评审得分且最后报价相同的，按照技术指标优劣顺序推荐；技术指标得分仍相同的，通过抽签方式确定排序。</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自身原因，在磋商期间，不能及时、完整、有效提供相关原件以供磋商小组查询，由此导致不利于响应文件的磋商后果由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承担。</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评分细则详见下表：</w:t>
      </w:r>
      <w:r/>
    </w:p>
    <w:tbl>
      <w:tblPr>
        <w:tblStyle w:val="828"/>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172"/>
        <w:gridCol w:w="764"/>
        <w:gridCol w:w="6339"/>
      </w:tblGrid>
      <w:tr>
        <w:trPr>
          <w:jc w:val="center"/>
          <w:trHeight w:val="702"/>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17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w:t>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因素</w:t>
            </w:r>
            <w:r/>
          </w:p>
        </w:tc>
        <w:tc>
          <w:tcPr>
            <w:tcW w:w="76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W w:w="6339"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评分内容</w:t>
            </w:r>
            <w:r/>
          </w:p>
        </w:tc>
      </w:tr>
      <w:tr>
        <w:trPr>
          <w:jc w:val="center"/>
          <w:trHeight w:val="454"/>
        </w:trPr>
        <w:tc>
          <w:tcPr>
            <w:gridSpan w:val="4"/>
            <w:tcW w:w="900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一、报价评审（</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分）</w:t>
            </w:r>
            <w:r/>
          </w:p>
        </w:tc>
      </w:tr>
      <w:tr>
        <w:trPr>
          <w:jc w:val="center"/>
          <w:trHeight w:val="1010"/>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17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w:t>
            </w:r>
            <w:r/>
          </w:p>
        </w:tc>
        <w:tc>
          <w:tcPr>
            <w:tcW w:w="76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0分</w:t>
            </w:r>
            <w:r/>
          </w:p>
        </w:tc>
        <w:tc>
          <w:tcPr>
            <w:tcW w:w="6339"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要求且最后报价最低的供应商的价格为磋商基准价，其价格分为满分</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0分。其他供应商的价格分统一按照下列公式计算：磋商报价得分＝（磋商基准价/最后磋商报价）×</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0分（保留两位小数，四舍五入）。</w:t>
            </w:r>
            <w:r/>
          </w:p>
        </w:tc>
      </w:tr>
      <w:tr>
        <w:trPr>
          <w:jc w:val="center"/>
          <w:trHeight w:val="477"/>
        </w:trPr>
        <w:tc>
          <w:tcPr>
            <w:gridSpan w:val="4"/>
            <w:tcW w:w="900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二、商务评审（</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r>
      <w:tr>
        <w:trPr>
          <w:jc w:val="center"/>
          <w:trHeight w:val="477"/>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117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业绩</w:t>
            </w:r>
            <w:r/>
          </w:p>
        </w:tc>
        <w:tc>
          <w:tcPr>
            <w:tcW w:w="76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6339" w:type="dxa"/>
            <w:vAlign w:val="center"/>
            <w:textDirection w:val="lrTb"/>
            <w:noWrap w:val="false"/>
          </w:tcPr>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自2023年1月1日以来（时间以合同签订日期为准）</w:t>
            </w:r>
            <w:r>
              <w:rPr>
                <w:rFonts w:hint="eastAsia" w:ascii="宋体" w:hAnsi="宋体" w:eastAsia="宋体" w:cs="宋体"/>
                <w:color w:val="auto"/>
                <w:sz w:val="24"/>
                <w:szCs w:val="24"/>
                <w:highlight w:val="none"/>
                <w:lang w:val="en-US" w:eastAsia="zh-CN"/>
              </w:rPr>
              <w:t xml:space="preserve">供应商或产品制造商</w:t>
            </w:r>
            <w:r>
              <w:rPr>
                <w:rFonts w:hint="eastAsia" w:ascii="宋体" w:hAnsi="宋体" w:eastAsia="宋体" w:cs="宋体"/>
                <w:color w:val="auto"/>
                <w:sz w:val="24"/>
                <w:szCs w:val="24"/>
                <w:highlight w:val="none"/>
              </w:rPr>
              <w:t xml:space="preserve">承接过同类型项目业绩的（合同清单里</w:t>
            </w:r>
            <w:r>
              <w:rPr>
                <w:rFonts w:hint="eastAsia" w:ascii="宋体" w:hAnsi="宋体" w:eastAsia="宋体" w:cs="宋体"/>
                <w:color w:val="auto"/>
                <w:sz w:val="24"/>
                <w:szCs w:val="24"/>
                <w:highlight w:val="none"/>
                <w:lang w:val="en-US" w:eastAsia="zh-CN"/>
              </w:rPr>
              <w:t xml:space="preserve">至少</w:t>
            </w:r>
            <w:r>
              <w:rPr>
                <w:rFonts w:hint="eastAsia" w:ascii="宋体" w:hAnsi="宋体" w:eastAsia="宋体" w:cs="宋体"/>
                <w:color w:val="auto"/>
                <w:sz w:val="24"/>
                <w:szCs w:val="24"/>
                <w:highlight w:val="none"/>
              </w:rPr>
              <w:t xml:space="preserve">包含控制台），每提供1个得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提供合同原件</w:t>
            </w:r>
            <w:r>
              <w:rPr>
                <w:rFonts w:hint="eastAsia" w:ascii="宋体" w:hAnsi="宋体" w:eastAsia="宋体" w:cs="宋体"/>
                <w:color w:val="auto"/>
                <w:sz w:val="24"/>
                <w:szCs w:val="24"/>
                <w:highlight w:val="none"/>
              </w:rPr>
              <w:t xml:space="preserve">扫描件</w:t>
            </w:r>
            <w:r>
              <w:rPr>
                <w:rFonts w:hint="eastAsia" w:ascii="宋体" w:hAnsi="宋体" w:eastAsia="宋体" w:cs="宋体"/>
                <w:color w:val="auto"/>
                <w:sz w:val="24"/>
                <w:szCs w:val="24"/>
                <w:highlight w:val="none"/>
                <w:lang w:val="en-US" w:eastAsia="zh-CN"/>
              </w:rPr>
              <w:t xml:space="preserve">及对应合同任意一次结算发票原件扫描件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合同中须能体现供货内容、合同签订时间等信息，未</w:t>
            </w:r>
            <w:r>
              <w:rPr>
                <w:rFonts w:hint="eastAsia" w:ascii="宋体" w:hAnsi="宋体" w:eastAsia="宋体" w:cs="宋体"/>
                <w:color w:val="auto"/>
                <w:sz w:val="24"/>
                <w:szCs w:val="24"/>
                <w:highlight w:val="none"/>
              </w:rPr>
              <w:t xml:space="preserve">提供或提供</w:t>
            </w:r>
            <w:r>
              <w:rPr>
                <w:rFonts w:hint="eastAsia" w:ascii="宋体" w:hAnsi="宋体" w:eastAsia="宋体" w:cs="宋体"/>
                <w:color w:val="auto"/>
                <w:sz w:val="24"/>
                <w:szCs w:val="24"/>
                <w:highlight w:val="none"/>
                <w:lang w:val="en-US" w:eastAsia="zh-CN"/>
              </w:rPr>
              <w:t xml:space="preserve">不全的</w:t>
            </w:r>
            <w:r>
              <w:rPr>
                <w:rFonts w:hint="eastAsia" w:ascii="宋体" w:hAnsi="宋体" w:eastAsia="宋体" w:cs="宋体"/>
                <w:color w:val="auto"/>
                <w:sz w:val="24"/>
                <w:szCs w:val="24"/>
                <w:highlight w:val="none"/>
              </w:rPr>
              <w:t xml:space="preserve">不得分。</w:t>
            </w:r>
            <w:r>
              <w:rPr>
                <w:rFonts w:hint="eastAsia" w:ascii="宋体" w:hAnsi="宋体" w:eastAsia="宋体" w:cs="宋体"/>
                <w:color w:val="auto"/>
                <w:sz w:val="24"/>
                <w:szCs w:val="24"/>
                <w:highlight w:val="none"/>
                <w:lang w:val="en-US" w:eastAsia="zh-CN"/>
              </w:rPr>
              <w:t xml:space="preserve">如供应商提供的业绩为产品制造商的业绩还另</w:t>
            </w:r>
            <w:r>
              <w:rPr>
                <w:rFonts w:hint="eastAsia" w:ascii="宋体" w:hAnsi="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lang w:val="en-US" w:eastAsia="zh-CN"/>
              </w:rPr>
              <w:t xml:space="preserve">提供</w:t>
            </w:r>
            <w:r>
              <w:rPr>
                <w:rFonts w:hint="eastAsia" w:ascii="宋体" w:hAnsi="宋体" w:cs="宋体"/>
                <w:color w:val="auto"/>
                <w:sz w:val="24"/>
                <w:szCs w:val="24"/>
                <w:highlight w:val="none"/>
                <w:lang w:val="en-US" w:eastAsia="zh-CN"/>
              </w:rPr>
              <w:t xml:space="preserve">制造商</w:t>
            </w:r>
            <w:r>
              <w:rPr>
                <w:rFonts w:hint="eastAsia" w:ascii="宋体" w:hAnsi="宋体" w:eastAsia="宋体" w:cs="宋体"/>
                <w:color w:val="auto"/>
                <w:sz w:val="24"/>
                <w:szCs w:val="24"/>
                <w:highlight w:val="none"/>
                <w:lang w:val="en-US" w:eastAsia="zh-CN"/>
              </w:rPr>
              <w:t xml:space="preserve">针对本项目的授权书</w:t>
            </w:r>
            <w:r>
              <w:rPr>
                <w:rFonts w:hint="eastAsia" w:ascii="宋体" w:hAnsi="宋体" w:cs="宋体"/>
                <w:color w:val="auto"/>
                <w:sz w:val="24"/>
                <w:szCs w:val="24"/>
                <w:highlight w:val="none"/>
                <w:lang w:val="en-US" w:eastAsia="zh-CN"/>
              </w:rPr>
              <w:t xml:space="preserve">复印件并加盖供应商公章</w:t>
            </w:r>
            <w:r>
              <w:rPr>
                <w:rFonts w:hint="eastAsia" w:ascii="宋体" w:hAnsi="宋体" w:eastAsia="宋体" w:cs="宋体"/>
                <w:color w:val="auto"/>
                <w:sz w:val="24"/>
                <w:szCs w:val="24"/>
                <w:highlight w:val="none"/>
                <w:lang w:val="en-US" w:eastAsia="zh-CN"/>
              </w:rPr>
              <w:t xml:space="preserve">。</w:t>
            </w:r>
            <w:r/>
          </w:p>
        </w:tc>
      </w:tr>
      <w:tr>
        <w:trPr>
          <w:jc w:val="center"/>
          <w:trHeight w:val="477"/>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w:t>
            </w:r>
            <w:r/>
          </w:p>
        </w:tc>
        <w:tc>
          <w:tcPr>
            <w:tcW w:w="117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企业实力</w:t>
            </w:r>
            <w:r/>
          </w:p>
        </w:tc>
        <w:tc>
          <w:tcPr>
            <w:tcW w:w="76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3分</w:t>
            </w:r>
            <w:r/>
          </w:p>
        </w:tc>
        <w:tc>
          <w:tcPr>
            <w:tcW w:w="6339" w:type="dxa"/>
            <w:vAlign w:val="center"/>
            <w:textDirection w:val="lrTb"/>
            <w:noWrap w:val="false"/>
          </w:tcPr>
          <w:p>
            <w:pPr>
              <w:ind w:firstLine="420"/>
              <w:spacing w:before="48" w:after="48" w:line="360" w:lineRule="auto"/>
              <w:widowControl/>
              <w:rPr>
                <w:rFonts w:hint="eastAsia" w:ascii="宋体" w:hAnsi="宋体" w:eastAsia="宋体" w:cs="宋体"/>
                <w:color w:val="000000"/>
                <w:sz w:val="24"/>
                <w:szCs w:val="24"/>
                <w:highlight w:val="none"/>
              </w:rPr>
            </w:pPr>
            <w:r/>
            <w:bookmarkStart w:id="108" w:name="OLE_LINK57"/>
            <w:r>
              <w:rPr>
                <w:rFonts w:hint="eastAsia" w:ascii="宋体" w:hAnsi="宋体" w:eastAsia="宋体" w:cs="宋体"/>
                <w:color w:val="000000"/>
                <w:sz w:val="24"/>
                <w:szCs w:val="24"/>
                <w:highlight w:val="none"/>
              </w:rPr>
              <w:t xml:space="preserve">供应商</w:t>
            </w:r>
            <w:r>
              <w:rPr>
                <w:rFonts w:hint="eastAsia" w:ascii="宋体" w:hAnsi="宋体" w:eastAsia="宋体" w:cs="宋体"/>
                <w:color w:val="auto"/>
                <w:sz w:val="24"/>
                <w:szCs w:val="24"/>
                <w:highlight w:val="none"/>
                <w:lang w:val="en-US" w:eastAsia="zh-CN"/>
              </w:rPr>
              <w:t xml:space="preserve">或产品制造商</w:t>
            </w:r>
            <w:r>
              <w:rPr>
                <w:rFonts w:hint="eastAsia" w:ascii="宋体" w:hAnsi="宋体" w:eastAsia="宋体" w:cs="宋体"/>
                <w:color w:val="000000"/>
                <w:sz w:val="24"/>
                <w:szCs w:val="24"/>
                <w:highlight w:val="none"/>
              </w:rPr>
              <w:t xml:space="preserve">具有有效的质量管理体系认证证书、环境管理体系认证证书、职业健康安全管理体系认证证书，有一个得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分，最多得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firstLine="420"/>
              <w:spacing w:before="48" w:after="48"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注：证书均必须在有效期内并能够在国家认证认可监督管理委员会网址可查询且查询状态为有效。查询网址：</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109" w:name="OLE_LINK29"/>
            <w:r>
              <w:rPr>
                <w:rFonts w:hint="eastAsia" w:ascii="宋体" w:hAnsi="宋体" w:eastAsia="宋体" w:cs="宋体"/>
                <w:color w:val="000000"/>
                <w:sz w:val="24"/>
                <w:szCs w:val="24"/>
                <w:highlight w:val="none"/>
              </w:rPr>
              <w:t xml:space="preserve">http://cx.cnca.cn/CertECloud/index/index/page</w:t>
            </w:r>
            <w:bookmarkEnd w:id="109"/>
            <w:r>
              <w:rPr>
                <w:rFonts w:hint="eastAsia" w:ascii="宋体" w:hAnsi="宋体" w:eastAsia="宋体" w:cs="宋体"/>
                <w:color w:val="000000"/>
                <w:sz w:val="24"/>
                <w:szCs w:val="24"/>
                <w:highlight w:val="none"/>
              </w:rPr>
              <w:t xml:space="preserve">，并提供相应证书</w:t>
            </w:r>
            <w:r>
              <w:rPr>
                <w:rFonts w:hint="eastAsia" w:ascii="宋体" w:hAnsi="宋体" w:eastAsia="宋体" w:cs="宋体"/>
                <w:color w:val="000000"/>
                <w:sz w:val="24"/>
                <w:szCs w:val="24"/>
                <w:highlight w:val="none"/>
                <w:lang w:val="en-US" w:eastAsia="zh-CN"/>
              </w:rPr>
              <w:t xml:space="preserve">原件</w:t>
            </w:r>
            <w:r>
              <w:rPr>
                <w:rFonts w:hint="eastAsia" w:ascii="宋体" w:hAnsi="宋体" w:eastAsia="宋体" w:cs="宋体"/>
                <w:color w:val="000000"/>
                <w:sz w:val="24"/>
                <w:szCs w:val="24"/>
                <w:highlight w:val="none"/>
              </w:rPr>
              <w:t xml:space="preserve">扫描件</w:t>
            </w:r>
            <w:r>
              <w:rPr>
                <w:rFonts w:hint="eastAsia" w:ascii="宋体" w:hAnsi="宋体" w:eastAsia="宋体" w:cs="宋体"/>
                <w:color w:val="000000"/>
                <w:sz w:val="24"/>
                <w:szCs w:val="24"/>
                <w:highlight w:val="none"/>
                <w:lang w:val="en-US" w:eastAsia="zh-CN"/>
              </w:rPr>
              <w:t xml:space="preserve">及网上查询截图</w:t>
            </w:r>
            <w:r>
              <w:rPr>
                <w:rFonts w:hint="eastAsia" w:ascii="宋体" w:hAnsi="宋体" w:eastAsia="宋体" w:cs="宋体"/>
                <w:color w:val="000000"/>
                <w:sz w:val="24"/>
                <w:szCs w:val="24"/>
                <w:highlight w:val="none"/>
              </w:rPr>
              <w:t xml:space="preserve">加盖</w:t>
            </w:r>
            <w:bookmarkStart w:id="110" w:name="OLE_LINK5"/>
            <w:r>
              <w:rPr>
                <w:rFonts w:hint="eastAsia" w:ascii="宋体" w:hAnsi="宋体" w:eastAsia="宋体" w:cs="宋体"/>
                <w:color w:val="000000"/>
                <w:sz w:val="24"/>
                <w:szCs w:val="24"/>
                <w:highlight w:val="none"/>
              </w:rPr>
              <w:t xml:space="preserve">供应商</w:t>
            </w:r>
            <w:bookmarkEnd w:id="110"/>
            <w:r>
              <w:rPr>
                <w:rFonts w:hint="eastAsia" w:ascii="宋体" w:hAnsi="宋体" w:eastAsia="宋体" w:cs="宋体"/>
                <w:color w:val="000000"/>
                <w:sz w:val="24"/>
                <w:szCs w:val="24"/>
                <w:highlight w:val="none"/>
              </w:rPr>
              <w:t xml:space="preserve">公章，</w:t>
            </w:r>
            <w:bookmarkEnd w:id="108"/>
            <w:r>
              <w:rPr>
                <w:rFonts w:hint="eastAsia" w:ascii="宋体" w:hAnsi="宋体" w:eastAsia="宋体" w:cs="宋体"/>
                <w:color w:val="000000"/>
                <w:sz w:val="24"/>
                <w:szCs w:val="24"/>
                <w:highlight w:val="none"/>
              </w:rPr>
              <w:t xml:space="preserve">未提供或提供不全的不得分。</w:t>
            </w:r>
            <w:r>
              <w:rPr>
                <w:rFonts w:hint="eastAsia" w:ascii="宋体" w:hAnsi="宋体" w:eastAsia="宋体" w:cs="宋体"/>
                <w:color w:val="auto"/>
                <w:sz w:val="24"/>
                <w:szCs w:val="24"/>
                <w:highlight w:val="none"/>
                <w:lang w:val="en-US" w:eastAsia="zh-CN"/>
              </w:rPr>
              <w:t xml:space="preserve">如供应商提供的证书为产品制造商的证书还另</w:t>
            </w:r>
            <w:r>
              <w:rPr>
                <w:rFonts w:hint="eastAsia" w:ascii="宋体" w:hAnsi="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lang w:val="en-US" w:eastAsia="zh-CN"/>
              </w:rPr>
              <w:t xml:space="preserve">提供</w:t>
            </w:r>
            <w:r>
              <w:rPr>
                <w:rFonts w:hint="eastAsia" w:ascii="宋体" w:hAnsi="宋体" w:cs="宋体"/>
                <w:color w:val="auto"/>
                <w:sz w:val="24"/>
                <w:szCs w:val="24"/>
                <w:highlight w:val="none"/>
                <w:lang w:val="en-US" w:eastAsia="zh-CN"/>
              </w:rPr>
              <w:t xml:space="preserve">制造商</w:t>
            </w:r>
            <w:r>
              <w:rPr>
                <w:rFonts w:hint="eastAsia" w:ascii="宋体" w:hAnsi="宋体" w:eastAsia="宋体" w:cs="宋体"/>
                <w:color w:val="auto"/>
                <w:sz w:val="24"/>
                <w:szCs w:val="24"/>
                <w:highlight w:val="none"/>
                <w:lang w:val="en-US" w:eastAsia="zh-CN"/>
              </w:rPr>
              <w:t xml:space="preserve">针对本项目的授权书</w:t>
            </w:r>
            <w:r>
              <w:rPr>
                <w:rFonts w:hint="eastAsia" w:ascii="宋体" w:hAnsi="宋体" w:cs="宋体"/>
                <w:color w:val="auto"/>
                <w:sz w:val="24"/>
                <w:szCs w:val="24"/>
                <w:highlight w:val="none"/>
                <w:lang w:val="en-US" w:eastAsia="zh-CN"/>
              </w:rPr>
              <w:t xml:space="preserve">复印件并加盖供应商公章</w:t>
            </w:r>
            <w:r>
              <w:rPr>
                <w:rFonts w:hint="eastAsia" w:ascii="宋体" w:hAnsi="宋体" w:eastAsia="宋体" w:cs="宋体"/>
                <w:color w:val="auto"/>
                <w:sz w:val="24"/>
                <w:szCs w:val="24"/>
                <w:highlight w:val="none"/>
                <w:lang w:val="en-US" w:eastAsia="zh-CN"/>
              </w:rPr>
              <w:t xml:space="preserve">。</w:t>
            </w:r>
            <w:r/>
          </w:p>
        </w:tc>
      </w:tr>
      <w:tr>
        <w:trPr>
          <w:jc w:val="center"/>
          <w:trHeight w:val="477"/>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w:t>
            </w:r>
            <w:r/>
          </w:p>
        </w:tc>
        <w:tc>
          <w:tcPr>
            <w:shd w:val="clear" w:color="auto" w:fill="auto"/>
            <w:tcW w:w="117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质保期</w:t>
            </w:r>
            <w:r/>
          </w:p>
        </w:tc>
        <w:tc>
          <w:tcPr>
            <w:shd w:val="clear" w:color="auto" w:fill="auto"/>
            <w:tcW w:w="76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3分</w:t>
            </w:r>
            <w:r/>
          </w:p>
        </w:tc>
        <w:tc>
          <w:tcPr>
            <w:shd w:val="clear" w:color="auto" w:fill="auto"/>
            <w:tcW w:w="6339"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在采购文件要求的免费质保期（</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年）的基础上，供应商承诺每增加1年免费质保期得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分。提供承诺书加盖</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公章，格式自拟。</w:t>
            </w:r>
            <w:r/>
          </w:p>
        </w:tc>
      </w:tr>
      <w:tr>
        <w:trPr>
          <w:jc w:val="center"/>
          <w:trHeight w:val="454"/>
        </w:trPr>
        <w:tc>
          <w:tcPr>
            <w:gridSpan w:val="4"/>
            <w:tcW w:w="900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三、技术评审（</w:t>
            </w:r>
            <w:r>
              <w:rPr>
                <w:rFonts w:hint="eastAsia" w:ascii="宋体" w:hAnsi="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rPr>
              <w:t xml:space="preserve">分）</w:t>
            </w:r>
            <w:r/>
          </w:p>
        </w:tc>
      </w:tr>
      <w:tr>
        <w:trPr>
          <w:jc w:val="center"/>
          <w:trHeight w:val="744"/>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p>
        </w:tc>
        <w:tc>
          <w:tcPr>
            <w:tcW w:w="117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项目总体</w:t>
            </w:r>
            <w:r>
              <w:rPr>
                <w:rFonts w:hint="eastAsia" w:ascii="宋体" w:hAnsi="宋体" w:eastAsia="宋体" w:cs="宋体"/>
                <w:color w:val="auto"/>
                <w:sz w:val="24"/>
                <w:szCs w:val="24"/>
                <w:highlight w:val="none"/>
                <w:lang w:val="en-US" w:eastAsia="zh-CN"/>
              </w:rPr>
              <w:t xml:space="preserve">实施供货方案</w:t>
            </w:r>
            <w:r/>
          </w:p>
        </w:tc>
        <w:tc>
          <w:tcPr>
            <w:tcW w:w="764"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12分</w:t>
            </w:r>
            <w:r/>
          </w:p>
        </w:tc>
        <w:tc>
          <w:tcPr>
            <w:tcW w:w="6339"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方案全面具体、内容与要点相符，优于采购需求的，得</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方案完整、内容与要点基本相符，满足采购需求的，得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 </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有遗漏</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val="en-US" w:eastAsia="zh-CN"/>
              </w:rPr>
              <w:t xml:space="preserve">不丰富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低于</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求</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 </w:t>
            </w:r>
            <w:r/>
          </w:p>
          <w:p>
            <w:pPr>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方案粗糙、内容简单，不完全满足采购需求的，得3分；</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未按要求提供的</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p>
        </w:tc>
      </w:tr>
      <w:tr>
        <w:trPr>
          <w:jc w:val="center"/>
          <w:trHeight w:val="416"/>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p>
        </w:tc>
        <w:tc>
          <w:tcPr>
            <w:tcW w:w="1172"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质量保证措施</w:t>
            </w:r>
            <w:r/>
          </w:p>
        </w:tc>
        <w:tc>
          <w:tcPr>
            <w:tcW w:w="764"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cs="宋体"/>
                <w:color w:val="auto"/>
                <w:sz w:val="24"/>
                <w:szCs w:val="24"/>
                <w:highlight w:val="none"/>
                <w:lang w:val="en-US" w:eastAsia="zh-CN"/>
              </w:rPr>
              <w:t xml:space="preserve">分</w:t>
            </w:r>
            <w:r/>
          </w:p>
        </w:tc>
        <w:tc>
          <w:tcPr>
            <w:tcW w:w="6339"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方案全面具体、内容与要点相符，优于采购需求的，得</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方案完整、内容与要点基本相符，满足采购需求的，得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 </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有遗漏</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val="en-US" w:eastAsia="zh-CN"/>
              </w:rPr>
              <w:t xml:space="preserve">不丰富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低于</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求</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 </w:t>
            </w:r>
            <w:r/>
          </w:p>
          <w:p>
            <w:pPr>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方案粗糙、内容简单，不完全满足采购需求的，得3分；</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未按要求提供的</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p>
        </w:tc>
      </w:tr>
      <w:tr>
        <w:trPr>
          <w:jc w:val="center"/>
          <w:trHeight w:val="90"/>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p>
        </w:tc>
        <w:tc>
          <w:tcPr>
            <w:tcW w:w="117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进度计划</w:t>
            </w:r>
            <w:r>
              <w:rPr>
                <w:rFonts w:hint="eastAsia" w:ascii="宋体" w:hAnsi="宋体" w:eastAsia="宋体" w:cs="宋体"/>
                <w:color w:val="auto"/>
                <w:sz w:val="24"/>
                <w:szCs w:val="24"/>
                <w:highlight w:val="none"/>
                <w:lang w:val="en-US" w:eastAsia="zh-CN"/>
              </w:rPr>
              <w:t xml:space="preserve">实施方案</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cs="宋体"/>
                <w:color w:val="auto"/>
                <w:sz w:val="24"/>
                <w:szCs w:val="24"/>
                <w:highlight w:val="none"/>
                <w:lang w:val="en-US" w:eastAsia="zh-CN"/>
              </w:rPr>
              <w:t xml:space="preserve">分</w:t>
            </w:r>
            <w:r/>
          </w:p>
        </w:tc>
        <w:tc>
          <w:tcPr>
            <w:tcW w:w="6339"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方案全面具体、内容与要点相符，优于采购需求的，得</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方案完整、内容与要点基本相符，满足采购需求的，得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 </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有遗漏</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val="en-US" w:eastAsia="zh-CN"/>
              </w:rPr>
              <w:t xml:space="preserve">不丰富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低于</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求</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 </w:t>
            </w:r>
            <w:r/>
          </w:p>
          <w:p>
            <w:pPr>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方案粗糙、内容简单，不完全满足采购需求的，得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w:t>
            </w:r>
            <w:r/>
          </w:p>
          <w:p>
            <w:pPr>
              <w:numPr>
                <w:ilvl w:val="0"/>
                <w:numId w:val="0"/>
              </w:numP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未按要求提供的</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p>
        </w:tc>
      </w:tr>
      <w:tr>
        <w:trPr>
          <w:jc w:val="center"/>
          <w:trHeight w:val="703"/>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w:t>
            </w:r>
            <w:r/>
          </w:p>
        </w:tc>
        <w:tc>
          <w:tcPr>
            <w:tcW w:w="117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现场安装技术方案</w:t>
            </w:r>
            <w:r/>
          </w:p>
        </w:tc>
        <w:tc>
          <w:tcPr>
            <w:tcW w:w="76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cs="宋体"/>
                <w:color w:val="auto"/>
                <w:sz w:val="24"/>
                <w:szCs w:val="24"/>
                <w:highlight w:val="none"/>
                <w:lang w:val="en-US" w:eastAsia="zh-CN"/>
              </w:rPr>
              <w:t xml:space="preserve">分</w:t>
            </w:r>
            <w:r/>
          </w:p>
        </w:tc>
        <w:tc>
          <w:tcPr>
            <w:tcW w:w="6339"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方案全面具体、内容与要点相符，优于采购需求的，得</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方案完整、内容与要点基本相符，满足采购需求的，得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 </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有遗漏</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val="en-US" w:eastAsia="zh-CN"/>
              </w:rPr>
              <w:t xml:space="preserve">不丰富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低于</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求</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 </w:t>
            </w:r>
            <w:r/>
          </w:p>
          <w:p>
            <w:pPr>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方案粗糙、内容简单，不完全满足采购需求的，得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未按要求提供的</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p>
        </w:tc>
      </w:tr>
      <w:tr>
        <w:trPr>
          <w:jc w:val="center"/>
          <w:trHeight w:val="703"/>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p>
        </w:tc>
        <w:tc>
          <w:tcPr>
            <w:tcW w:w="117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tc>
        <w:tc>
          <w:tcPr>
            <w:tcW w:w="76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分</w:t>
            </w:r>
            <w:r/>
          </w:p>
        </w:tc>
        <w:tc>
          <w:tcPr>
            <w:tcW w:w="6339"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方案全面具体、内容与要点相符，优于采购需求的，得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方案完整、内容与要点基本相符，满足采购需求的，得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 </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有遗漏</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val="en-US" w:eastAsia="zh-CN"/>
              </w:rPr>
              <w:t xml:space="preserve">不丰富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低于</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求</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 </w:t>
            </w:r>
            <w:r/>
          </w:p>
          <w:p>
            <w:pPr>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方案粗糙、内容简单，不完全满足采购需求的，得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未按要求提供的</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p>
        </w:tc>
      </w:tr>
    </w:tbl>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p>
    <w:p>
      <w:pPr>
        <w:ind w:firstLine="42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1.以上评分标准中每一条，各供应商均应提供相关的资料并作出相应的对比供评分评判。</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2.响应文件中如出现前后不一致时，磋商小组有权请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澄清说明，澄清说明事项涉及评分时，该项不得分。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承诺所提供的商务、技术、业绩资料全部真实，如有伪造，视作</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自动放弃投标及成交资格，并视作</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自愿接受相关处罚。</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4.供应商应根据国家政策调整规律进行报价，充分考虑服务期内的市场因素和成本变化状况的风险。</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.响应供应商应认真进行现场勘察工作，场地现状及限制性因素由响应供应商向采购人查询并自行勘察核实，供应商的响应行为视为已充分调查、了解、核实场地现状，并同意接受准备履约合同。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.本办法未尽事宜，由磋商小组依据有关法规研究解决。</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44"/>
        <w:jc w:val="center"/>
        <w:keepNext w:val="0"/>
        <w:rPr>
          <w:rFonts w:hint="eastAsia" w:ascii="宋体" w:hAnsi="宋体" w:eastAsia="宋体" w:cs="宋体"/>
          <w:color w:val="auto"/>
          <w:sz w:val="32"/>
          <w:szCs w:val="32"/>
          <w:highlight w:val="none"/>
        </w:rPr>
      </w:pPr>
      <w:r/>
      <w:bookmarkStart w:id="111" w:name="_Toc29253"/>
      <w:r/>
      <w:r/>
    </w:p>
    <w:p>
      <w:pPr>
        <w:pStyle w:val="1044"/>
        <w:jc w:val="center"/>
        <w:keepNext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44"/>
        <w:jc w:val="center"/>
        <w:keepNext w:val="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第六章 响应文件的组成和格式</w:t>
      </w:r>
      <w:bookmarkEnd w:id="111"/>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响 应 文 件</w:t>
      </w:r>
      <w:r/>
    </w:p>
    <w:p>
      <w:pPr>
        <w:pStyle w:val="106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pStyle w:val="10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p>
      <w:pPr>
        <w:pStyle w:val="10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 ：（加盖CA电子公章）</w:t>
      </w:r>
      <w:r/>
    </w:p>
    <w:p>
      <w:pPr>
        <w:pStyle w:val="10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pStyle w:val="106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0"/>
        <w:jc w:val="center"/>
        <w:pageBreakBefore w:val="0"/>
        <w:spacing w:line="360" w:lineRule="auto"/>
        <w:rPr>
          <w:rFonts w:hint="eastAsia" w:ascii="宋体" w:hAnsi="宋体" w:eastAsia="宋体" w:cs="宋体"/>
          <w:b/>
          <w:bCs/>
          <w:color w:val="000000"/>
          <w:sz w:val="30"/>
          <w:szCs w:val="30"/>
        </w:rPr>
        <w:outlineLvl w:val="1"/>
      </w:pPr>
      <w:r>
        <w:rPr>
          <w:rFonts w:hint="eastAsia" w:ascii="宋体" w:hAnsi="宋体" w:eastAsia="宋体" w:cs="宋体"/>
          <w:color w:val="auto"/>
          <w:highlight w:val="none"/>
        </w:rPr>
        <w:br w:type="page" w:clear="all"/>
      </w:r>
      <w:r>
        <w:rPr>
          <w:rFonts w:hint="eastAsia" w:ascii="宋体" w:hAnsi="宋体" w:eastAsia="宋体" w:cs="宋体"/>
          <w:b/>
          <w:bCs/>
          <w:color w:val="000000"/>
          <w:sz w:val="30"/>
          <w:szCs w:val="30"/>
        </w:rPr>
        <w:t xml:space="preserve">一、磋商响应函</w:t>
      </w:r>
      <w:r/>
    </w:p>
    <w:p>
      <w:pPr>
        <w:pStyle w:val="1068"/>
        <w:ind w:firstLine="0"/>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p>
    <w:p>
      <w:pPr>
        <w:pStyle w:val="106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根据贵方的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号磋商文件，正式授权下述签字人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（姓名和职务）代表我方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（供应商名称），全权处理本次项目磋商采购的有关事宜。</w:t>
      </w:r>
      <w:r/>
    </w:p>
    <w:p>
      <w:pPr>
        <w:pStyle w:val="106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据此函，</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签字人兹宣布同意如下：</w:t>
      </w:r>
      <w:r/>
    </w:p>
    <w:p>
      <w:pPr>
        <w:pStyle w:val="1068"/>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rPr>
        <w:t xml:space="preserve">按磋商文件规定的各项要求，向采购人提供所需工程。</w:t>
      </w:r>
      <w:r/>
    </w:p>
    <w:p>
      <w:pPr>
        <w:pStyle w:val="1068"/>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我们同意向贵方提供贵方可能要求的与本次项目采购有关的任何证据或资料，并保证我方已提供和将要提供的文件是真实的、准确的。</w:t>
      </w:r>
      <w:r/>
    </w:p>
    <w:p>
      <w:pPr>
        <w:pStyle w:val="1068"/>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rPr>
        <w:t xml:space="preserve">我们完全理解贵方不一定将合同授予最低报价的供应商。</w:t>
      </w:r>
      <w:r/>
    </w:p>
    <w:p>
      <w:pPr>
        <w:pStyle w:val="1068"/>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4.</w:t>
      </w:r>
      <w:r>
        <w:rPr>
          <w:rFonts w:hint="eastAsia" w:ascii="宋体" w:hAnsi="宋体" w:eastAsia="宋体" w:cs="宋体"/>
          <w:color w:val="000000"/>
          <w:sz w:val="24"/>
          <w:szCs w:val="24"/>
        </w:rPr>
        <w:t xml:space="preserve">我们已详细审核全部磋商文件及其有效补充文件，我们知道必须放弃提出含糊不清或误解问题的权利。</w:t>
      </w:r>
      <w:r/>
    </w:p>
    <w:p>
      <w:pPr>
        <w:pStyle w:val="1068"/>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5.</w:t>
      </w:r>
      <w:r>
        <w:rPr>
          <w:rFonts w:hint="eastAsia" w:ascii="宋体" w:hAnsi="宋体" w:eastAsia="宋体" w:cs="宋体"/>
          <w:color w:val="000000"/>
          <w:sz w:val="24"/>
          <w:szCs w:val="24"/>
        </w:rPr>
        <w:t xml:space="preserve">我们同意从规定的开标日期起遵循本响应文件，并在规定的投标有效期期满之前均具有约束力。</w:t>
      </w:r>
      <w:r/>
    </w:p>
    <w:p>
      <w:pPr>
        <w:pStyle w:val="1068"/>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6.</w:t>
      </w:r>
      <w:r>
        <w:rPr>
          <w:rFonts w:hint="eastAsia" w:ascii="宋体" w:hAnsi="宋体" w:eastAsia="宋体" w:cs="宋体"/>
          <w:color w:val="000000"/>
          <w:sz w:val="24"/>
          <w:szCs w:val="24"/>
        </w:rPr>
        <w:t xml:space="preserve">如果在开标后规定的投标有效期内撤回响应文件或中标后拒绝签订合同，我方将接受采购人相关处罚。</w:t>
      </w:r>
      <w:r/>
    </w:p>
    <w:p>
      <w:pPr>
        <w:pStyle w:val="1068"/>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7.</w:t>
      </w:r>
      <w:r>
        <w:rPr>
          <w:rFonts w:hint="eastAsia" w:ascii="宋体" w:hAnsi="宋体" w:eastAsia="宋体" w:cs="宋体"/>
          <w:color w:val="000000"/>
          <w:sz w:val="24"/>
          <w:szCs w:val="24"/>
        </w:rPr>
        <w:t xml:space="preserve">一旦我方成交，我方将根据磋商文件的规定，严格履行合同的责任和义务，并保证在承诺的时间内完成项目，交付买方验收、使用。</w:t>
      </w:r>
      <w:r/>
    </w:p>
    <w:p>
      <w:pPr>
        <w:pStyle w:val="1068"/>
        <w:pageBreakBefore w:val="0"/>
        <w:spacing w:before="0" w:after="0"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8.</w:t>
      </w:r>
      <w:r>
        <w:rPr>
          <w:rFonts w:hint="eastAsia" w:ascii="宋体" w:hAnsi="宋体" w:eastAsia="宋体" w:cs="宋体"/>
          <w:color w:val="000000"/>
          <w:sz w:val="24"/>
          <w:szCs w:val="24"/>
        </w:rPr>
        <w:t xml:space="preserve">与本次磋商有关的正式通讯地址为：</w:t>
      </w:r>
      <w:r/>
    </w:p>
    <w:p>
      <w:pPr>
        <w:pStyle w:val="1068"/>
        <w:pageBreakBefore w:val="0"/>
        <w:spacing w:before="0" w:after="0"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        话：</w:t>
      </w:r>
      <w:r>
        <w:rPr>
          <w:rFonts w:hint="eastAsia" w:ascii="宋体" w:hAnsi="宋体" w:eastAsia="宋体" w:cs="宋体"/>
          <w:color w:val="000000"/>
          <w:sz w:val="24"/>
          <w:szCs w:val="24"/>
          <w:u w:val="single"/>
        </w:rPr>
        <w:t xml:space="preserve">                  </w:t>
      </w:r>
      <w:r/>
    </w:p>
    <w:p>
      <w:pPr>
        <w:pStyle w:val="106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        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        箱： </w:t>
      </w:r>
      <w:r>
        <w:rPr>
          <w:rFonts w:hint="eastAsia" w:ascii="宋体" w:hAnsi="宋体" w:eastAsia="宋体" w:cs="宋体"/>
          <w:color w:val="000000"/>
          <w:sz w:val="24"/>
          <w:szCs w:val="24"/>
          <w:u w:val="single"/>
        </w:rPr>
        <w:t xml:space="preserve">                 </w:t>
      </w:r>
      <w:r/>
    </w:p>
    <w:p>
      <w:pPr>
        <w:pStyle w:val="106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供应商开户行：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en-US" w:eastAsia="zh-CN"/>
        </w:rPr>
        <w:t xml:space="preserve">账</w:t>
      </w:r>
      <w:r>
        <w:rPr>
          <w:rFonts w:hint="eastAsia" w:ascii="宋体" w:hAnsi="宋体" w:eastAsia="宋体" w:cs="宋体"/>
          <w:color w:val="000000"/>
          <w:sz w:val="24"/>
          <w:szCs w:val="24"/>
        </w:rPr>
        <w:t xml:space="preserve">        户：</w:t>
      </w:r>
      <w:r>
        <w:rPr>
          <w:rFonts w:hint="eastAsia" w:ascii="宋体" w:hAnsi="宋体" w:eastAsia="宋体" w:cs="宋体"/>
          <w:color w:val="000000"/>
          <w:sz w:val="24"/>
          <w:szCs w:val="24"/>
          <w:u w:val="single"/>
        </w:rPr>
        <w:t xml:space="preserve">                  </w:t>
      </w:r>
      <w:r/>
    </w:p>
    <w:p>
      <w:pPr>
        <w:pStyle w:val="106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法定代表人或授权代表（签字或盖章）：</w:t>
      </w:r>
      <w:r>
        <w:rPr>
          <w:rFonts w:hint="eastAsia" w:ascii="宋体" w:hAnsi="宋体" w:eastAsia="宋体" w:cs="宋体"/>
          <w:color w:val="000000"/>
          <w:sz w:val="24"/>
          <w:szCs w:val="24"/>
          <w:u w:val="single"/>
        </w:rPr>
        <w:t xml:space="preserve">               </w:t>
      </w:r>
      <w:r/>
    </w:p>
    <w:p>
      <w:pPr>
        <w:pStyle w:val="106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u w:val="single"/>
        </w:rPr>
        <w:t xml:space="preserve">                         </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jc w:val="center"/>
        <w:keepLines w:val="0"/>
        <w:pageBreakBefore w:val="0"/>
        <w:spacing w:before="0" w:beforeAutospacing="0" w:after="0" w:afterAutospacing="0" w:line="360" w:lineRule="auto"/>
        <w:widowControl/>
        <w:rPr>
          <w:rFonts w:hint="eastAsia" w:ascii="宋体" w:hAnsi="宋体" w:eastAsia="宋体" w:cs="宋体"/>
          <w:sz w:val="30"/>
          <w:szCs w:val="30"/>
        </w:rPr>
      </w:pPr>
      <w:r>
        <w:rPr>
          <w:rFonts w:hint="eastAsia" w:ascii="宋体" w:hAnsi="宋体" w:eastAsia="宋体" w:cs="宋体"/>
          <w:b/>
          <w:bCs/>
          <w:color w:val="000000"/>
          <w:sz w:val="30"/>
          <w:szCs w:val="30"/>
        </w:rPr>
        <w:t xml:space="preserve">二、</w:t>
      </w:r>
      <w:r>
        <w:rPr>
          <w:rStyle w:val="855"/>
          <w:rFonts w:hint="eastAsia" w:ascii="宋体" w:hAnsi="宋体" w:eastAsia="宋体" w:cs="宋体"/>
          <w:b/>
          <w:bCs w:val="0"/>
          <w:sz w:val="30"/>
          <w:szCs w:val="30"/>
        </w:rPr>
        <w:t xml:space="preserve">磋商报价表</w:t>
      </w:r>
      <w:r/>
    </w:p>
    <w:p>
      <w:pPr>
        <w:pStyle w:val="851"/>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本次为首次价                   货币单位：人民币元</w:t>
      </w:r>
      <w:r/>
    </w:p>
    <w:p>
      <w:pPr>
        <w:pStyle w:val="851"/>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项目编号：  </w:t>
      </w:r>
      <w:r/>
    </w:p>
    <w:tbl>
      <w:tblPr>
        <w:tblStyle w:val="828"/>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586"/>
        <w:gridCol w:w="2433"/>
        <w:gridCol w:w="3948"/>
      </w:tblGrid>
      <w:tr>
        <w:trPr>
          <w:tblCellSpacing w:w="15" w:type="dxa"/>
        </w:trPr>
        <w:tc>
          <w:tcPr>
            <w:tcW w:w="3330" w:type="dxa"/>
            <w:vAlign w:val="center"/>
            <w:textDirection w:val="lrTb"/>
            <w:noWrap w:val="false"/>
          </w:tcPr>
          <w:p>
            <w:pPr>
              <w:pStyle w:val="851"/>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3345" w:type="dxa"/>
            <w:vAlign w:val="center"/>
            <w:textDirection w:val="lrTb"/>
            <w:noWrap w:val="false"/>
          </w:tcPr>
          <w:p>
            <w:pPr>
              <w:pStyle w:val="851"/>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项目内容</w:t>
            </w:r>
            <w:r/>
          </w:p>
        </w:tc>
        <w:tc>
          <w:tcPr>
            <w:tcW w:w="4980" w:type="dxa"/>
            <w:vAlign w:val="center"/>
            <w:textDirection w:val="lrTb"/>
            <w:noWrap w:val="false"/>
          </w:tcPr>
          <w:p>
            <w:pPr>
              <w:pStyle w:val="851"/>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总价（小写）</w:t>
            </w:r>
            <w:r/>
          </w:p>
        </w:tc>
      </w:tr>
      <w:tr>
        <w:trPr>
          <w:tblCellSpacing w:w="15" w:type="dxa"/>
        </w:trPr>
        <w:tc>
          <w:tcPr>
            <w:tcW w:w="3330" w:type="dxa"/>
            <w:vAlign w:val="center"/>
            <w:textDirection w:val="lrTb"/>
            <w:noWrap w:val="false"/>
          </w:tcPr>
          <w:p>
            <w:pPr>
              <w:pStyle w:val="851"/>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项目名称 </w:t>
            </w:r>
            <w:r/>
          </w:p>
        </w:tc>
        <w:tc>
          <w:tcPr>
            <w:tcW w:w="3345" w:type="dxa"/>
            <w:vAlign w:val="center"/>
            <w:textDirection w:val="lrTb"/>
            <w:noWrap w:val="false"/>
          </w:tcPr>
          <w:p>
            <w:pPr>
              <w:pStyle w:val="851"/>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详见响应文件</w:t>
            </w:r>
            <w:r/>
          </w:p>
        </w:tc>
        <w:tc>
          <w:tcPr>
            <w:tcW w:w="4980" w:type="dxa"/>
            <w:vAlign w:val="center"/>
            <w:textDirection w:val="lrTb"/>
            <w:noWrap w:val="false"/>
          </w:tcPr>
          <w:p>
            <w:pPr>
              <w:pStyle w:val="851"/>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0</wp:posOffset>
                      </wp:positionH>
                      <wp:positionV relativeFrom="paragraph">
                        <wp:posOffset>0</wp:posOffset>
                      </wp:positionV>
                      <wp:extent cx="635" cy="0"/>
                      <wp:effectExtent l="0" t="0" r="0" b="0"/>
                      <wp:wrapNone/>
                      <wp:docPr id="5" name="矩形 10"/>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4" o:spid="_x0000_s4" o:spt="1" type="#_x0000_t1" style="position:absolute;z-index:251662336;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35" cy="0"/>
                      <wp:effectExtent l="0" t="0" r="0" b="0"/>
                      <wp:docPr id="6"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sz w:val="24"/>
                <w:szCs w:val="24"/>
              </w:rPr>
              <w:t xml:space="preserve">  </w:t>
            </w:r>
            <w:r>
              <w:rPr>
                <w:rFonts w:hint="eastAsia" w:cs="宋体"/>
                <w:sz w:val="24"/>
                <w:szCs w:val="24"/>
                <w:lang w:val="en-US" w:eastAsia="zh-CN"/>
              </w:rPr>
              <w:t xml:space="preserve">     </w:t>
            </w:r>
            <w:r>
              <w:rPr>
                <w:rFonts w:hint="eastAsia" w:ascii="宋体" w:hAnsi="宋体" w:eastAsia="宋体" w:cs="宋体"/>
                <w:sz w:val="24"/>
                <w:szCs w:val="24"/>
              </w:rPr>
              <w:t xml:space="preserve">元</w:t>
            </w:r>
            <w:r/>
          </w:p>
        </w:tc>
      </w:tr>
      <w:tr>
        <w:trPr>
          <w:tblCellSpacing w:w="15" w:type="dxa"/>
        </w:trPr>
        <w:tc>
          <w:tcPr>
            <w:tcW w:w="3330" w:type="dxa"/>
            <w:vAlign w:val="center"/>
            <w:textDirection w:val="lrTb"/>
            <w:noWrap w:val="false"/>
          </w:tcPr>
          <w:p>
            <w:pPr>
              <w:pStyle w:val="851"/>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总价（大写）：</w:t>
            </w:r>
            <w:r/>
          </w:p>
        </w:tc>
        <w:tc>
          <w:tcPr>
            <w:gridSpan w:val="2"/>
            <w:tcW w:w="8340" w:type="dxa"/>
            <w:vAlign w:val="center"/>
            <w:textDirection w:val="lrTb"/>
            <w:noWrap w:val="false"/>
          </w:tcPr>
          <w:p>
            <w:pPr>
              <w:pStyle w:val="851"/>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金额大写 </w:t>
            </w:r>
            <w:r/>
          </w:p>
        </w:tc>
      </w:tr>
    </w:tbl>
    <w:p>
      <w:pPr>
        <w:pStyle w:val="851"/>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报价说明：</w:t>
      </w:r>
      <w:r/>
    </w:p>
    <w:p>
      <w:pPr>
        <w:pStyle w:val="851"/>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cs="宋体"/>
          <w:sz w:val="24"/>
          <w:szCs w:val="24"/>
          <w:lang w:eastAsia="zh-CN"/>
        </w:rPr>
        <w:t xml:space="preserve">1.</w:t>
      </w:r>
      <w:r>
        <w:rPr>
          <w:rFonts w:hint="eastAsia" w:ascii="宋体" w:hAnsi="宋体" w:eastAsia="宋体" w:cs="宋体"/>
          <w:sz w:val="24"/>
          <w:szCs w:val="24"/>
        </w:rPr>
        <w:t xml:space="preserve">报价包括完成项目的所有费用。采购人不再支付报价以外的任何费用。</w:t>
      </w:r>
      <w:r/>
    </w:p>
    <w:p>
      <w:pPr>
        <w:pStyle w:val="851"/>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cs="宋体"/>
          <w:sz w:val="24"/>
          <w:szCs w:val="24"/>
          <w:lang w:eastAsia="zh-CN"/>
        </w:rPr>
        <w:t xml:space="preserve">2.</w:t>
      </w:r>
      <w:r>
        <w:rPr>
          <w:rFonts w:hint="eastAsia" w:ascii="宋体" w:hAnsi="宋体" w:eastAsia="宋体" w:cs="宋体"/>
          <w:sz w:val="24"/>
          <w:szCs w:val="24"/>
        </w:rPr>
        <w:t xml:space="preserve">报价以总价为准，大小写不一致以大写为准；</w:t>
      </w:r>
      <w:r/>
    </w:p>
    <w:p>
      <w:pPr>
        <w:pStyle w:val="851"/>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cs="宋体"/>
          <w:sz w:val="24"/>
          <w:szCs w:val="24"/>
          <w:lang w:eastAsia="zh-CN"/>
        </w:rPr>
        <w:t xml:space="preserve">3.</w:t>
      </w:r>
      <w:r>
        <w:rPr>
          <w:rFonts w:hint="eastAsia" w:ascii="宋体" w:hAnsi="宋体" w:eastAsia="宋体" w:cs="宋体"/>
          <w:sz w:val="24"/>
          <w:szCs w:val="24"/>
        </w:rPr>
        <w:t xml:space="preserve">偏离说明：详见《偏离表》；</w:t>
      </w:r>
      <w:r/>
    </w:p>
    <w:p>
      <w:pPr>
        <w:pStyle w:val="851"/>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cs="宋体"/>
          <w:sz w:val="24"/>
          <w:szCs w:val="24"/>
          <w:lang w:eastAsia="zh-CN"/>
        </w:rPr>
        <w:t xml:space="preserve">4.</w:t>
      </w:r>
      <w:r>
        <w:rPr>
          <w:rFonts w:hint="eastAsia" w:ascii="宋体" w:hAnsi="宋体" w:eastAsia="宋体" w:cs="宋体"/>
          <w:sz w:val="24"/>
          <w:szCs w:val="24"/>
        </w:rPr>
        <w:t xml:space="preserve">如最后报价未列明单价，则最后所报各项单价计算方法为：（最后报价/ 最初报价）* 各项最初报价的单价。</w:t>
      </w:r>
      <w:r/>
    </w:p>
    <w:p>
      <w:pPr>
        <w:pStyle w:val="851"/>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color w:val="000000"/>
          <w:sz w:val="24"/>
          <w:szCs w:val="24"/>
        </w:rPr>
        <w:t xml:space="preserve">加盖CA电子公章</w:t>
      </w:r>
      <w:r>
        <w:rPr>
          <w:rFonts w:hint="eastAsia" w:ascii="宋体" w:hAnsi="宋体" w:eastAsia="宋体" w:cs="宋体"/>
          <w:sz w:val="24"/>
          <w:szCs w:val="24"/>
        </w:rPr>
        <w:t xml:space="preserve">）：</w:t>
      </w:r>
      <w:r/>
    </w:p>
    <w:p>
      <w:pPr>
        <w:pStyle w:val="851"/>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0</wp:posOffset>
                </wp:positionH>
                <wp:positionV relativeFrom="paragraph">
                  <wp:posOffset>0</wp:posOffset>
                </wp:positionV>
                <wp:extent cx="635" cy="0"/>
                <wp:effectExtent l="0" t="0" r="0" b="0"/>
                <wp:wrapNone/>
                <wp:docPr id="7"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6" o:spid="_x0000_s6" o:spt="1" type="#_x0000_t1" style="position:absolute;z-index:251663360;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35" cy="0"/>
                <wp:effectExtent l="0" t="0" r="0" b="0"/>
                <wp:docPr id="8"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sz w:val="24"/>
          <w:szCs w:val="24"/>
        </w:rPr>
        <w:t xml:space="preserve">  年</w: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0</wp:posOffset>
                </wp:positionH>
                <wp:positionV relativeFrom="paragraph">
                  <wp:posOffset>0</wp:posOffset>
                </wp:positionV>
                <wp:extent cx="635" cy="0"/>
                <wp:effectExtent l="0" t="0" r="0" b="0"/>
                <wp:wrapNone/>
                <wp:docPr id="9" name="矩形 9"/>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8" o:spid="_x0000_s8" o:spt="1" type="#_x0000_t1" style="position:absolute;z-index:25166438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35" cy="0"/>
                <wp:effectExtent l="0" t="0" r="0" b="0"/>
                <wp:docPr id="10" name="矩形 1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9" o:spid="_x0000_s9"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sz w:val="24"/>
          <w:szCs w:val="24"/>
        </w:rPr>
        <w:t xml:space="preserve">  月 </w: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0</wp:posOffset>
                </wp:positionH>
                <wp:positionV relativeFrom="paragraph">
                  <wp:posOffset>0</wp:posOffset>
                </wp:positionV>
                <wp:extent cx="635" cy="0"/>
                <wp:effectExtent l="0" t="0" r="0" b="0"/>
                <wp:wrapNone/>
                <wp:docPr id="11" name="矩形 1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10" o:spid="_x0000_s10" o:spt="1" type="#_x0000_t1" style="position:absolute;z-index:25166540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35" cy="0"/>
                <wp:effectExtent l="0" t="0" r="0" b="0"/>
                <wp:docPr id="12" name="矩形 1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11" o:spid="_x0000_s11"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sz w:val="24"/>
          <w:szCs w:val="24"/>
        </w:rPr>
        <w:t xml:space="preserve">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pageBreakBefore w:val="0"/>
        <w:spacing w:line="360" w:lineRule="auto"/>
        <w:rPr>
          <w:rFonts w:hint="eastAsia" w:ascii="宋体" w:hAnsi="宋体" w:eastAsia="宋体" w:cs="宋体"/>
          <w:b/>
          <w:bCs/>
          <w:color w:val="000000"/>
          <w:sz w:val="30"/>
          <w:szCs w:val="30"/>
        </w:rPr>
        <w:outlineLvl w:val="1"/>
      </w:pPr>
      <w:r/>
      <w:bookmarkStart w:id="112" w:name="_Toc20864"/>
      <w:r/>
      <w:bookmarkStart w:id="113" w:name="_Toc28534"/>
      <w:r/>
      <w:bookmarkStart w:id="114" w:name="_Toc14753"/>
      <w:r/>
      <w:bookmarkStart w:id="115" w:name="_Toc3595"/>
      <w:r>
        <w:rPr>
          <w:rFonts w:hint="eastAsia" w:ascii="宋体" w:hAnsi="宋体" w:eastAsia="宋体" w:cs="宋体"/>
          <w:b/>
          <w:bCs/>
          <w:color w:val="000000"/>
          <w:sz w:val="30"/>
          <w:szCs w:val="30"/>
        </w:rPr>
        <w:t xml:space="preserve">三、法定代表人资格证明</w:t>
      </w:r>
      <w:r/>
    </w:p>
    <w:p>
      <w:pPr>
        <w:ind w:firstLine="56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6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w:t>
      </w:r>
      <w:r>
        <w:rPr>
          <w:rFonts w:hint="eastAsia" w:ascii="宋体" w:hAnsi="宋体" w:eastAsia="宋体" w:cs="宋体"/>
          <w:b/>
          <w:color w:val="000000"/>
          <w:sz w:val="24"/>
          <w:szCs w:val="24"/>
          <w:u w:val="single"/>
        </w:rPr>
        <w:t xml:space="preserve">                              </w:t>
      </w:r>
      <w:r/>
    </w:p>
    <w:p>
      <w:pPr>
        <w:pStyle w:val="106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rPr>
          <w:rFonts w:hint="eastAsia" w:ascii="宋体" w:hAnsi="宋体" w:eastAsia="宋体" w:cs="宋体"/>
          <w:b/>
          <w:color w:val="000000"/>
          <w:sz w:val="24"/>
          <w:szCs w:val="24"/>
          <w:u w:val="single"/>
        </w:rPr>
        <w:t xml:space="preserve">                              </w:t>
      </w:r>
      <w:r/>
    </w:p>
    <w:p>
      <w:pPr>
        <w:pStyle w:val="106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rPr>
          <w:rFonts w:hint="eastAsia" w:ascii="宋体" w:hAnsi="宋体" w:eastAsia="宋体" w:cs="宋体"/>
          <w:b/>
          <w:color w:val="000000"/>
          <w:sz w:val="24"/>
          <w:szCs w:val="24"/>
          <w:u w:val="single"/>
        </w:rPr>
        <w:t xml:space="preserve">          </w:t>
      </w:r>
      <w:r>
        <w:rPr>
          <w:rFonts w:hint="eastAsia" w:ascii="宋体" w:hAnsi="宋体" w:eastAsia="宋体" w:cs="宋体"/>
          <w:color w:val="000000"/>
          <w:sz w:val="24"/>
          <w:szCs w:val="24"/>
        </w:rPr>
        <w:t xml:space="preserve"> 性别：</w:t>
      </w:r>
      <w:r>
        <w:rPr>
          <w:rFonts w:hint="eastAsia" w:ascii="宋体" w:hAnsi="宋体" w:eastAsia="宋体" w:cs="宋体"/>
          <w:b/>
          <w:color w:val="000000"/>
          <w:sz w:val="24"/>
          <w:szCs w:val="24"/>
          <w:u w:val="single"/>
        </w:rPr>
        <w:t xml:space="preserve">          </w:t>
      </w:r>
      <w:r>
        <w:rPr>
          <w:rFonts w:hint="eastAsia" w:ascii="宋体" w:hAnsi="宋体" w:eastAsia="宋体" w:cs="宋体"/>
          <w:color w:val="000000"/>
          <w:sz w:val="24"/>
          <w:szCs w:val="24"/>
        </w:rPr>
        <w:t xml:space="preserve">年龄：</w:t>
      </w:r>
      <w:r>
        <w:rPr>
          <w:rFonts w:hint="eastAsia" w:ascii="宋体" w:hAnsi="宋体" w:eastAsia="宋体" w:cs="宋体"/>
          <w:b/>
          <w:color w:val="000000"/>
          <w:sz w:val="24"/>
          <w:szCs w:val="24"/>
          <w:u w:val="single"/>
        </w:rPr>
        <w:t xml:space="preserve">          </w:t>
      </w:r>
      <w:r>
        <w:rPr>
          <w:rFonts w:hint="eastAsia" w:ascii="宋体" w:hAnsi="宋体" w:eastAsia="宋体" w:cs="宋体"/>
          <w:color w:val="000000"/>
          <w:sz w:val="24"/>
          <w:szCs w:val="24"/>
        </w:rPr>
        <w:t xml:space="preserve">职务：</w:t>
      </w:r>
      <w:r>
        <w:rPr>
          <w:rFonts w:hint="eastAsia" w:ascii="宋体" w:hAnsi="宋体" w:eastAsia="宋体" w:cs="宋体"/>
          <w:b/>
          <w:color w:val="000000"/>
          <w:sz w:val="24"/>
          <w:szCs w:val="24"/>
          <w:u w:val="single"/>
        </w:rPr>
        <w:t xml:space="preserve">          </w:t>
      </w:r>
      <w:r/>
    </w:p>
    <w:p>
      <w:pPr>
        <w:pStyle w:val="106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w:t>
      </w:r>
      <w:r>
        <w:rPr>
          <w:rFonts w:hint="eastAsia" w:ascii="宋体" w:hAnsi="宋体" w:eastAsia="宋体" w:cs="宋体"/>
          <w:color w:val="000000"/>
          <w:sz w:val="24"/>
          <w:szCs w:val="24"/>
          <w:u w:val="single"/>
        </w:rPr>
        <w:t xml:space="preserve"> （供应商名称）</w:t>
      </w:r>
      <w:r>
        <w:rPr>
          <w:rFonts w:hint="eastAsia" w:ascii="宋体" w:hAnsi="宋体" w:eastAsia="宋体" w:cs="宋体"/>
          <w:color w:val="000000"/>
          <w:sz w:val="24"/>
          <w:szCs w:val="24"/>
        </w:rPr>
        <w:t xml:space="preserve">的法定代表人。为参与</w:t>
      </w:r>
      <w:r>
        <w:rPr>
          <w:rFonts w:hint="eastAsia" w:ascii="宋体" w:hAnsi="宋体" w:eastAsia="宋体" w:cs="宋体"/>
          <w:b/>
          <w:color w:val="000000"/>
          <w:sz w:val="24"/>
          <w:szCs w:val="24"/>
          <w:u w:val="single"/>
        </w:rPr>
        <w:t xml:space="preserve">          </w:t>
      </w:r>
      <w:r>
        <w:rPr>
          <w:rFonts w:hint="eastAsia" w:ascii="宋体" w:hAnsi="宋体" w:eastAsia="宋体" w:cs="宋体"/>
          <w:color w:val="000000"/>
          <w:sz w:val="24"/>
          <w:szCs w:val="24"/>
        </w:rPr>
        <w:t xml:space="preserve">项目，签署上述项目的响应文件、进行投标、签署合同和处理与之有关的一切事务。</w:t>
      </w:r>
      <w:r/>
    </w:p>
    <w:p>
      <w:pPr>
        <w:pageBreakBefore w:val="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pStyle w:val="106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特此证明。</w:t>
      </w:r>
      <w:r/>
    </w:p>
    <w:p>
      <w:pPr>
        <w:ind w:firstLine="5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6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Style w:val="1068"/>
        <w:ind w:firstLine="0"/>
        <w:jc w:val="center"/>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6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                        </w:t>
      </w:r>
      <w:r/>
    </w:p>
    <w:p>
      <w:pPr>
        <w:ind w:firstLine="532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204"/>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center"/>
        <w:pageBreakBefore w:val="0"/>
        <w:spacing w:line="360" w:lineRule="auto"/>
        <w:rPr>
          <w:rFonts w:hint="eastAsia" w:ascii="宋体" w:hAnsi="宋体" w:eastAsia="宋体" w:cs="宋体"/>
          <w:b/>
          <w:bCs/>
          <w:color w:val="000000"/>
          <w:sz w:val="30"/>
          <w:szCs w:val="30"/>
        </w:rPr>
        <w:outlineLvl w:val="1"/>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30"/>
          <w:szCs w:val="30"/>
        </w:rPr>
        <w:t xml:space="preserve">四、授权委托书</w:t>
      </w:r>
      <w:r/>
    </w:p>
    <w:p>
      <w:pPr>
        <w:pStyle w:val="106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6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本授权书声明：</w:t>
      </w:r>
      <w:r>
        <w:rPr>
          <w:rFonts w:hint="eastAsia" w:ascii="宋体" w:hAnsi="宋体" w:eastAsia="宋体" w:cs="宋体"/>
          <w:color w:val="000000"/>
          <w:sz w:val="24"/>
          <w:szCs w:val="24"/>
          <w:u w:val="single"/>
        </w:rPr>
        <w:t xml:space="preserve">（供应商名称）</w:t>
      </w:r>
      <w:r>
        <w:rPr>
          <w:rFonts w:hint="eastAsia" w:ascii="宋体" w:hAnsi="宋体" w:eastAsia="宋体" w:cs="宋体"/>
          <w:color w:val="000000"/>
          <w:sz w:val="24"/>
          <w:szCs w:val="24"/>
        </w:rPr>
        <w:t xml:space="preserve">授权</w:t>
      </w:r>
      <w:r>
        <w:rPr>
          <w:rFonts w:hint="eastAsia" w:ascii="宋体" w:hAnsi="宋体" w:eastAsia="宋体" w:cs="宋体"/>
          <w:color w:val="000000"/>
          <w:sz w:val="24"/>
          <w:szCs w:val="24"/>
          <w:u w:val="single"/>
        </w:rPr>
        <w:t xml:space="preserve">（被授权人的姓名）</w:t>
      </w:r>
      <w:r>
        <w:rPr>
          <w:rFonts w:hint="eastAsia" w:ascii="宋体" w:hAnsi="宋体" w:eastAsia="宋体" w:cs="宋体"/>
          <w:color w:val="000000"/>
          <w:sz w:val="24"/>
          <w:szCs w:val="24"/>
        </w:rPr>
        <w:t xml:space="preserve">为</w:t>
      </w:r>
      <w:r>
        <w:rPr>
          <w:rFonts w:hint="eastAsia" w:ascii="宋体" w:hAnsi="宋体" w:eastAsia="宋体" w:cs="宋体"/>
          <w:b/>
          <w:color w:val="000000"/>
          <w:sz w:val="24"/>
          <w:szCs w:val="24"/>
          <w:u w:val="single"/>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）的采购活动的合法代理人，以我单位名义签署上述项目的响应文件、进行投标、签署合同和处理与之有关的一切事务。</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受托人在办理上述事宜过程中以其自己的名义所签署的所有文件我单位均予以承认。受托人无转委托权。</w:t>
      </w:r>
      <w:r/>
    </w:p>
    <w:p>
      <w:pPr>
        <w:ind w:firstLine="48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委托期限：至上述事宜处理完毕止。</w:t>
      </w:r>
      <w:r/>
    </w:p>
    <w:p>
      <w:pPr>
        <w:ind w:firstLine="480"/>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被授权代表情况：</w:t>
      </w:r>
      <w:r/>
    </w:p>
    <w:p>
      <w:pPr>
        <w:ind w:firstLine="525"/>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姓名：         性别：       电话：</w:t>
      </w:r>
      <w:r/>
    </w:p>
    <w:p>
      <w:pPr>
        <w:pStyle w:val="106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6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法定代表人（签字或盖章）：</w:t>
      </w:r>
      <w:r/>
    </w:p>
    <w:p>
      <w:pPr>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  期：</w:t>
      </w:r>
      <w:r/>
    </w:p>
    <w:tbl>
      <w:tblPr>
        <w:tblStyle w:val="8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rHeight w:val="2537"/>
        </w:trPr>
        <w:tc>
          <w:tcPr>
            <w:tcW w:w="4261" w:type="dxa"/>
            <w:textDirection w:val="lrTb"/>
            <w:noWrap w:val="false"/>
          </w:tcPr>
          <w:p>
            <w:pP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法人身份证：</w:t>
            </w:r>
            <w:r/>
          </w:p>
        </w:tc>
        <w:tc>
          <w:tcPr>
            <w:tcW w:w="4261" w:type="dxa"/>
            <w:textDirection w:val="lrTb"/>
            <w:noWrap w:val="false"/>
          </w:tcPr>
          <w:p>
            <w:pP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2498"/>
        </w:trPr>
        <w:tc>
          <w:tcPr>
            <w:tcW w:w="4261" w:type="dxa"/>
            <w:textDirection w:val="lrTb"/>
            <w:noWrap w:val="false"/>
          </w:tcPr>
          <w:p>
            <w:pP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授权委托人身份证：</w:t>
            </w:r>
            <w:r/>
          </w:p>
        </w:tc>
        <w:tc>
          <w:tcPr>
            <w:tcW w:w="4261" w:type="dxa"/>
            <w:textDirection w:val="lrTb"/>
            <w:noWrap w:val="false"/>
          </w:tcPr>
          <w:p>
            <w:pPr>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bl>
    <w:p>
      <w:pPr>
        <w:pStyle w:val="106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pageBreakBefore w:val="0"/>
        <w:spacing w:line="360" w:lineRule="auto"/>
        <w:rPr>
          <w:rFonts w:hint="eastAsia" w:ascii="宋体" w:hAnsi="宋体" w:eastAsia="宋体" w:cs="宋体"/>
          <w:b/>
          <w:bCs/>
          <w:color w:val="000000"/>
          <w:sz w:val="30"/>
          <w:szCs w:val="30"/>
        </w:rPr>
        <w:outlineLvl w:val="1"/>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30"/>
          <w:szCs w:val="30"/>
        </w:rPr>
        <w:t xml:space="preserve">五、具备履行合同所必需的设备和专业技术能力的书面声明</w:t>
      </w:r>
      <w:r/>
    </w:p>
    <w:p>
      <w:pPr>
        <w:ind w:firstLine="492"/>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92"/>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我单位郑重声明：我单位具备履行本项采购合同所必需的设备和专业技术能力，为履行本项采购合同我单位具备如下主要设备和主要专业技术能力：</w:t>
      </w:r>
      <w:r/>
    </w:p>
    <w:p>
      <w:pPr>
        <w:ind w:firstLine="492"/>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主要设备有：</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w:t>
      </w:r>
      <w:r/>
    </w:p>
    <w:p>
      <w:pPr>
        <w:ind w:firstLine="492"/>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主要专业技术能力有：</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p>
    <w:p>
      <w:pPr>
        <w:pStyle w:val="106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6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6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6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日期：</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日</w:t>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br w:type="page" w:clear="all"/>
      </w:r>
      <w:r/>
    </w:p>
    <w:p>
      <w:pPr>
        <w:jc w:val="center"/>
        <w:pageBreakBefore w:val="0"/>
        <w:spacing w:line="360" w:lineRule="auto"/>
        <w:rPr>
          <w:rFonts w:hint="eastAsia" w:ascii="宋体" w:hAnsi="宋体" w:eastAsia="宋体" w:cs="宋体"/>
          <w:b/>
          <w:bCs/>
          <w:color w:val="000000"/>
          <w:sz w:val="30"/>
          <w:szCs w:val="30"/>
        </w:rPr>
        <w:outlineLvl w:val="1"/>
      </w:pPr>
      <w:r>
        <w:rPr>
          <w:rFonts w:hint="eastAsia" w:ascii="宋体" w:hAnsi="宋体" w:eastAsia="宋体" w:cs="宋体"/>
          <w:b/>
          <w:bCs/>
          <w:color w:val="000000"/>
          <w:sz w:val="30"/>
          <w:szCs w:val="30"/>
          <w:lang w:val="en-US" w:eastAsia="zh-CN"/>
        </w:rPr>
        <w:t xml:space="preserve">六、</w:t>
      </w:r>
      <w:r>
        <w:rPr>
          <w:rFonts w:hint="eastAsia" w:ascii="宋体" w:hAnsi="宋体" w:eastAsia="宋体" w:cs="宋体"/>
          <w:b/>
          <w:bCs/>
          <w:color w:val="000000"/>
          <w:sz w:val="30"/>
          <w:szCs w:val="30"/>
        </w:rPr>
        <w:t xml:space="preserve">参加政府采购活动前3年内在经营活动中没有重大违法记录的书面声明</w:t>
      </w:r>
      <w:r/>
    </w:p>
    <w:p>
      <w:pPr>
        <w:jc w:val="center"/>
        <w:spacing w:line="360" w:lineRule="auto"/>
        <w:widowControl/>
        <w:tabs>
          <w:tab w:val="left" w:pos="720" w:leader="none"/>
        </w:tabs>
        <w:rPr>
          <w:b/>
          <w:color w:val="000000"/>
          <w:sz w:val="24"/>
          <w:szCs w:val="24"/>
          <w:highlight w:val="none"/>
        </w:rPr>
      </w:pPr>
      <w:r>
        <w:rPr>
          <w:rFonts w:hint="eastAsia" w:ascii="宋体" w:hAnsi="宋体" w:cs="宋体"/>
          <w:color w:val="000000"/>
          <w:sz w:val="24"/>
          <w:szCs w:val="24"/>
          <w:highlight w:val="none"/>
        </w:rPr>
        <w:t xml:space="preserve">（参考格式） </w:t>
      </w:r>
      <w:r/>
    </w:p>
    <w:p>
      <w:pPr>
        <w:jc w:val="left"/>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jc w:val="center"/>
        <w:spacing w:line="360" w:lineRule="auto"/>
        <w:rPr>
          <w:rFonts w:hint="eastAsia" w:ascii="Arial" w:hAnsi="Arial" w:cs="Arial"/>
          <w:color w:val="000000"/>
          <w:sz w:val="24"/>
          <w:szCs w:val="24"/>
          <w:highlight w:val="none"/>
        </w:rPr>
      </w:pPr>
      <w:r>
        <w:rPr>
          <w:rFonts w:hint="eastAsia" w:ascii="宋体" w:hAnsi="宋体" w:cs="宋体"/>
          <w:color w:val="000000"/>
          <w:sz w:val="24"/>
          <w:szCs w:val="24"/>
          <w:highlight w:val="none"/>
        </w:rPr>
        <w:t xml:space="preserve">声 明</w:t>
      </w:r>
      <w:r/>
    </w:p>
    <w:p>
      <w:pPr>
        <w:ind w:firstLine="475"/>
        <w:jc w:val="left"/>
        <w:spacing w:line="360" w:lineRule="auto"/>
        <w:rPr>
          <w:rFonts w:ascii="Arial" w:hAnsi="Arial" w:cs="Arial"/>
          <w:color w:val="000000"/>
          <w:sz w:val="24"/>
          <w:szCs w:val="24"/>
          <w:highlight w:val="none"/>
        </w:rPr>
      </w:pPr>
      <w:r>
        <w:rPr>
          <w:rFonts w:hint="eastAsia" w:ascii="宋体" w:hAnsi="宋体" w:cs="宋体"/>
          <w:color w:val="000000"/>
          <w:sz w:val="24"/>
          <w:szCs w:val="24"/>
          <w:highlight w:val="none"/>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6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numPr>
          <w:ilvl w:val="0"/>
          <w:numId w:val="10"/>
        </w:numPr>
        <w:jc w:val="center"/>
        <w:pageBreakBefore w:val="0"/>
        <w:spacing w:line="360" w:lineRule="auto"/>
        <w:rPr>
          <w:rFonts w:hint="eastAsia" w:ascii="宋体" w:hAnsi="宋体" w:eastAsia="宋体" w:cs="宋体"/>
          <w:b/>
          <w:bCs/>
          <w:color w:val="000000"/>
          <w:sz w:val="30"/>
          <w:szCs w:val="30"/>
          <w:lang w:val="en-US" w:eastAsia="zh-CN" w:bidi="ar-SA"/>
        </w:rPr>
        <w:outlineLvl w:val="1"/>
      </w:pPr>
      <w:r>
        <w:rPr>
          <w:rFonts w:hint="eastAsia" w:ascii="宋体" w:hAnsi="宋体" w:eastAsia="宋体" w:cs="宋体"/>
          <w:b/>
          <w:bCs/>
          <w:color w:val="000000"/>
          <w:sz w:val="30"/>
          <w:szCs w:val="30"/>
          <w:lang w:val="en-US" w:eastAsia="zh-CN" w:bidi="ar-SA"/>
        </w:rPr>
        <w:t xml:space="preserve">承诺书</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 ：</w:t>
      </w:r>
      <w:r>
        <w:rPr>
          <w:rFonts w:hint="eastAsia" w:ascii="宋体" w:hAnsi="宋体" w:eastAsia="宋体" w:cs="宋体"/>
          <w:color w:val="000000"/>
          <w:sz w:val="24"/>
          <w:szCs w:val="24"/>
          <w:u w:val="single"/>
        </w:rPr>
        <w:t xml:space="preserve">                </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本单位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单位名称）参加 </w:t>
      </w:r>
      <w:r>
        <w:rPr>
          <w:rFonts w:hint="eastAsia" w:ascii="宋体" w:hAnsi="宋体" w:eastAsia="宋体" w:cs="宋体"/>
          <w:color w:val="000000"/>
          <w:sz w:val="24"/>
          <w:szCs w:val="24"/>
          <w:u w:val="single"/>
        </w:rPr>
        <w:t xml:space="preserve">   （项目名称和项目编号）</w:t>
      </w:r>
      <w:r>
        <w:rPr>
          <w:rFonts w:hint="eastAsia" w:ascii="宋体" w:hAnsi="宋体" w:eastAsia="宋体" w:cs="宋体"/>
          <w:color w:val="000000"/>
          <w:sz w:val="24"/>
          <w:szCs w:val="24"/>
        </w:rPr>
        <w:t xml:space="preserve">的政府采购活动，郑重承诺具备以下条件：</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）未被“信用中国”网站（</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）列入失</w:t>
      </w:r>
      <w:r>
        <w:rPr>
          <w:rFonts w:hint="eastAsia" w:ascii="宋体" w:hAnsi="宋体" w:cs="宋体"/>
          <w:color w:val="000000"/>
          <w:sz w:val="24"/>
          <w:szCs w:val="24"/>
          <w:lang w:eastAsia="zh-CN"/>
        </w:rPr>
        <w:t xml:space="preserve">信被</w:t>
      </w:r>
      <w:r>
        <w:rPr>
          <w:rFonts w:hint="eastAsia" w:ascii="宋体" w:hAnsi="宋体" w:eastAsia="宋体" w:cs="宋体"/>
          <w:color w:val="000000"/>
          <w:sz w:val="24"/>
          <w:szCs w:val="24"/>
        </w:rPr>
        <w:t xml:space="preserve">执行人、</w:t>
      </w:r>
      <w:r>
        <w:rPr>
          <w:rFonts w:hint="eastAsia" w:ascii="宋体" w:hAnsi="宋体" w:eastAsia="宋体" w:cs="宋体"/>
          <w:b w:val="0"/>
          <w:bCs w:val="0"/>
          <w:color w:val="000000"/>
          <w:sz w:val="24"/>
          <w:szCs w:val="24"/>
          <w:highlight w:val="none"/>
          <w:lang w:val="zh-CN"/>
        </w:rPr>
        <w:t xml:space="preserve">重大税收违法失信主体</w:t>
      </w:r>
      <w:r>
        <w:rPr>
          <w:rFonts w:hint="eastAsia" w:ascii="宋体" w:hAnsi="宋体" w:eastAsia="宋体" w:cs="宋体"/>
          <w:color w:val="000000"/>
          <w:sz w:val="24"/>
          <w:szCs w:val="24"/>
        </w:rPr>
        <w:t xml:space="preserve">、政府采购严重违法失信行为记录名单。</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）供应商单位负责人为同一人或者存在直接控股、管理关系的不同供应商，不得参加同一合同项下的政府采购活动。</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）为采购项目提供整体设计、规范编制或者项目管理、监理、检测等服务的供应商，不得再参加该采购项目的其他采购活动。</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本单位对上述承诺的真实性负责。如有虚假，将依法承担相应责任。同时我们同意如贵方要求，可以出示相关证明文件。</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6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jc w:val="both"/>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right"/>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jc w:val="both"/>
        <w:pageBreakBefore w:val="0"/>
        <w:spacing w:line="360" w:lineRule="auto"/>
        <w:rPr>
          <w:rFonts w:hint="default" w:ascii="宋体" w:hAnsi="宋体" w:eastAsia="宋体" w:cs="宋体"/>
          <w:b/>
          <w:bCs/>
          <w:color w:val="000000"/>
          <w:sz w:val="30"/>
          <w:szCs w:val="30"/>
          <w:lang w:val="en-US" w:eastAsia="zh-CN" w:bidi="ar-SA"/>
        </w:rPr>
        <w:outlineLvl w:val="1"/>
      </w:pPr>
      <w:r>
        <w:rPr>
          <w:rFonts w:hint="default" w:ascii="宋体" w:hAnsi="宋体" w:eastAsia="宋体" w:cs="宋体"/>
          <w:b/>
          <w:bCs/>
          <w:color w:val="000000"/>
          <w:sz w:val="30"/>
          <w:szCs w:val="30"/>
          <w:lang w:val="en-US" w:eastAsia="zh-CN" w:bidi="ar-SA"/>
        </w:rPr>
      </w:r>
      <w:bookmarkEnd w:id="112"/>
      <w:r/>
      <w:bookmarkEnd w:id="113"/>
      <w:r/>
      <w:bookmarkEnd w:id="114"/>
      <w:r/>
      <w:bookmarkEnd w:id="115"/>
      <w:r/>
      <w:r/>
    </w:p>
    <w:p>
      <w:pPr>
        <w:pStyle w:val="1059"/>
        <w:jc w:val="center"/>
        <w:widowControl w:val="off"/>
        <w:rPr>
          <w:rFonts w:hint="eastAsia" w:ascii="宋体" w:hAnsi="宋体" w:eastAsia="宋体" w:cs="宋体"/>
          <w:b/>
          <w:bCs/>
          <w:color w:val="000000"/>
          <w:sz w:val="30"/>
          <w:szCs w:val="30"/>
          <w:lang w:val="en-US" w:eastAsia="zh-CN" w:bidi="ar-SA"/>
        </w:rPr>
      </w:pPr>
      <w:r>
        <w:rPr>
          <w:rFonts w:hint="eastAsia" w:cs="宋体"/>
          <w:b/>
          <w:bCs/>
          <w:color w:val="000000"/>
          <w:sz w:val="30"/>
          <w:szCs w:val="30"/>
          <w:lang w:val="en-US" w:eastAsia="zh-CN" w:bidi="ar-SA"/>
        </w:rPr>
        <w:t xml:space="preserve">八</w:t>
      </w:r>
      <w:r>
        <w:rPr>
          <w:rFonts w:hint="eastAsia" w:ascii="宋体" w:hAnsi="宋体" w:eastAsia="宋体" w:cs="宋体"/>
          <w:b/>
          <w:bCs/>
          <w:color w:val="000000"/>
          <w:sz w:val="30"/>
          <w:szCs w:val="30"/>
          <w:lang w:val="en-US" w:eastAsia="zh-CN" w:bidi="ar-SA"/>
        </w:rPr>
        <w:t xml:space="preserve">、中小企业声明函 </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bCs/>
          <w:color w:val="auto"/>
          <w:sz w:val="24"/>
          <w:szCs w:val="24"/>
          <w:highlight w:val="none"/>
          <w:lang w:val="en-US" w:eastAsia="zh-CN"/>
        </w:rPr>
        <w:t xml:space="preserve">泰州市公安局</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w:t>
      </w:r>
      <w:r>
        <w:rPr>
          <w:rFonts w:hint="eastAsia" w:ascii="宋体" w:hAnsi="宋体" w:eastAsia="宋体" w:cs="宋体"/>
          <w:bCs/>
          <w:color w:val="auto"/>
          <w:sz w:val="24"/>
          <w:szCs w:val="24"/>
          <w:highlight w:val="none"/>
          <w:lang w:val="en-US" w:eastAsia="zh-CN"/>
        </w:rPr>
        <w:t xml:space="preserve">提供的货物</w:t>
      </w:r>
      <w:r>
        <w:rPr>
          <w:rFonts w:hint="eastAsia" w:ascii="宋体" w:hAnsi="宋体" w:eastAsia="宋体" w:cs="宋体"/>
          <w:bCs/>
          <w:color w:val="auto"/>
          <w:sz w:val="24"/>
          <w:szCs w:val="24"/>
          <w:highlight w:val="none"/>
        </w:rPr>
        <w:t xml:space="preserve">全部由符合政策要求的中小企业</w:t>
      </w:r>
      <w:r>
        <w:rPr>
          <w:rFonts w:hint="eastAsia" w:ascii="宋体" w:hAnsi="宋体" w:eastAsia="宋体" w:cs="宋体"/>
          <w:bCs/>
          <w:color w:val="auto"/>
          <w:sz w:val="24"/>
          <w:szCs w:val="24"/>
          <w:highlight w:val="none"/>
          <w:lang w:val="en-US" w:eastAsia="zh-CN"/>
        </w:rPr>
        <w:t xml:space="preserve">制造</w:t>
      </w:r>
      <w:r>
        <w:rPr>
          <w:rFonts w:hint="eastAsia" w:ascii="宋体" w:hAnsi="宋体" w:eastAsia="宋体" w:cs="宋体"/>
          <w:bCs/>
          <w:color w:val="auto"/>
          <w:sz w:val="24"/>
          <w:szCs w:val="24"/>
          <w:highlight w:val="none"/>
        </w:rPr>
        <w:t xml:space="preserve">。相关企业（含联合体中的中小企业、签订分包意向协议的中小企业）的具体情况如下：</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u w:val="single"/>
        </w:rPr>
        <w:t xml:space="preserve">（标的名称）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lang w:val="en-US" w:eastAsia="zh-CN"/>
        </w:rPr>
        <w:t xml:space="preserve">工业</w:t>
      </w:r>
      <w:r>
        <w:rPr>
          <w:rFonts w:hint="eastAsia" w:ascii="宋体" w:hAnsi="宋体" w:eastAsia="宋体" w:cs="宋体"/>
          <w:bCs/>
          <w:color w:val="auto"/>
          <w:sz w:val="24"/>
          <w:szCs w:val="24"/>
          <w:highlight w:val="none"/>
          <w:u w:val="none"/>
          <w:lang w:val="en-US" w:eastAsia="zh-CN"/>
        </w:rPr>
        <w:t xml:space="preserve">行业</w:t>
      </w:r>
      <w:r>
        <w:rPr>
          <w:rFonts w:hint="eastAsia" w:ascii="宋体" w:hAnsi="宋体" w:eastAsia="宋体" w:cs="宋体"/>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制造商</w:t>
      </w:r>
      <w:r>
        <w:rPr>
          <w:rFonts w:hint="eastAsia" w:ascii="宋体" w:hAnsi="宋体" w:eastAsia="宋体" w:cs="宋体"/>
          <w:bCs/>
          <w:color w:val="auto"/>
          <w:sz w:val="24"/>
          <w:szCs w:val="24"/>
          <w:highlight w:val="none"/>
        </w:rPr>
        <w:t xml:space="preserve">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u w:val="single"/>
        </w:rPr>
        <w:t xml:space="preserve">（标的名称）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lang w:val="en-US" w:eastAsia="zh-CN"/>
        </w:rPr>
        <w:t xml:space="preserve">工业</w:t>
      </w:r>
      <w:r>
        <w:rPr>
          <w:rFonts w:hint="eastAsia" w:ascii="宋体" w:hAnsi="宋体" w:eastAsia="宋体" w:cs="宋体"/>
          <w:bCs/>
          <w:color w:val="auto"/>
          <w:sz w:val="24"/>
          <w:szCs w:val="24"/>
          <w:highlight w:val="none"/>
          <w:u w:val="none"/>
          <w:lang w:val="en-US" w:eastAsia="zh-CN"/>
        </w:rPr>
        <w:t xml:space="preserve">行业</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制造商</w:t>
      </w:r>
      <w:r>
        <w:rPr>
          <w:rFonts w:hint="eastAsia" w:ascii="宋体" w:hAnsi="宋体" w:eastAsia="宋体" w:cs="宋体"/>
          <w:bCs/>
          <w:color w:val="auto"/>
          <w:sz w:val="24"/>
          <w:szCs w:val="24"/>
          <w:highlight w:val="none"/>
        </w:rPr>
        <w:t xml:space="preserve">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本企业对上述声明</w:t>
      </w:r>
      <w:r>
        <w:rPr>
          <w:rFonts w:hint="eastAsia" w:ascii="宋体" w:hAnsi="宋体" w:eastAsia="宋体" w:cs="宋体"/>
          <w:bCs/>
          <w:color w:val="auto"/>
          <w:sz w:val="24"/>
          <w:szCs w:val="24"/>
          <w:highlight w:val="none"/>
          <w:lang w:val="en-US" w:eastAsia="zh-CN"/>
        </w:rPr>
        <w:t xml:space="preserve">内容</w:t>
      </w:r>
      <w:r>
        <w:rPr>
          <w:rFonts w:hint="eastAsia" w:ascii="宋体" w:hAnsi="宋体" w:eastAsia="宋体" w:cs="宋体"/>
          <w:bCs/>
          <w:color w:val="auto"/>
          <w:sz w:val="24"/>
          <w:szCs w:val="24"/>
          <w:highlight w:val="none"/>
        </w:rPr>
        <w:t xml:space="preserve">的真实性负责。如有虚假，将依法承担相应责任。</w:t>
      </w:r>
      <w:r/>
    </w:p>
    <w:p>
      <w:pPr>
        <w:ind w:right="48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                  （加盖CA电子</w:t>
      </w:r>
      <w:r>
        <w:rPr>
          <w:rFonts w:hint="eastAsia" w:ascii="宋体" w:hAnsi="宋体" w:cs="宋体"/>
          <w:color w:val="auto"/>
          <w:sz w:val="24"/>
          <w:szCs w:val="24"/>
          <w:highlight w:val="none"/>
          <w:lang w:val="en-US" w:eastAsia="zh-CN"/>
        </w:rPr>
        <w:t xml:space="preserve">公</w:t>
      </w:r>
      <w:r>
        <w:rPr>
          <w:rFonts w:hint="eastAsia" w:ascii="宋体" w:hAnsi="宋体" w:eastAsia="宋体" w:cs="宋体"/>
          <w:color w:val="auto"/>
          <w:sz w:val="24"/>
          <w:szCs w:val="24"/>
          <w:highlight w:val="none"/>
        </w:rPr>
        <w:t xml:space="preserve">章）</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2.中小微企业划型标准</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关于印发中小企业划型标准规定的通知》（工信部联企业〔2011〕300号），文件网址如下：https://www.miit.gov.cn/jgsj/qyj/wjfb/art/2011/art_235af1ade45c4865957adeed23f9d949.html。本项目采购标的所属行业为</w:t>
      </w:r>
      <w:r>
        <w:rPr>
          <w:rFonts w:hint="eastAsia" w:ascii="宋体" w:hAnsi="宋体" w:eastAsia="宋体" w:cs="宋体"/>
          <w:color w:val="auto"/>
          <w:sz w:val="24"/>
          <w:szCs w:val="24"/>
          <w:highlight w:val="none"/>
          <w:u w:val="single"/>
          <w:lang w:val="en-US" w:eastAsia="zh-CN"/>
        </w:rPr>
        <w:t xml:space="preserve">工</w:t>
      </w:r>
      <w:r>
        <w:rPr>
          <w:rFonts w:hint="eastAsia" w:ascii="宋体" w:hAnsi="宋体" w:eastAsia="宋体" w:cs="宋体"/>
          <w:color w:val="auto"/>
          <w:sz w:val="24"/>
          <w:szCs w:val="24"/>
          <w:highlight w:val="none"/>
          <w:u w:val="single"/>
        </w:rPr>
        <w:t xml:space="preserve">业 </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3.成交供应商的中小企业声明函将在结果公告中对外公示，声明函内容不实的，属于提供虚假材料谋取成交，将依照《中华人民共和国政府采购法》等国家有关规定追究相应责任。</w:t>
      </w:r>
      <w:r/>
    </w:p>
    <w:p>
      <w:pPr>
        <w:pStyle w:val="1059"/>
        <w:jc w:val="center"/>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残疾人福利性单位声明函</w:t>
      </w:r>
      <w:r/>
    </w:p>
    <w:p>
      <w:pPr>
        <w:pStyle w:val="1053"/>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项目采购活动提供服务。</w:t>
      </w:r>
      <w:r/>
    </w:p>
    <w:p>
      <w:pPr>
        <w:pStyle w:val="1053"/>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                  （加盖CA电子</w:t>
      </w:r>
      <w:r>
        <w:rPr>
          <w:rFonts w:hint="eastAsia" w:ascii="宋体" w:hAnsi="宋体" w:cs="宋体"/>
          <w:color w:val="auto"/>
          <w:sz w:val="24"/>
          <w:szCs w:val="24"/>
          <w:highlight w:val="none"/>
          <w:lang w:val="en-US" w:eastAsia="zh-CN"/>
        </w:rPr>
        <w:t xml:space="preserve">公</w:t>
      </w:r>
      <w:r>
        <w:rPr>
          <w:rFonts w:hint="eastAsia" w:ascii="宋体" w:hAnsi="宋体" w:eastAsia="宋体" w:cs="宋体"/>
          <w:color w:val="auto"/>
          <w:sz w:val="24"/>
          <w:szCs w:val="24"/>
          <w:highlight w:val="none"/>
        </w:rPr>
        <w:t xml:space="preserve">章）</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1.非残疾人福利性单位不需提供此声明函。</w:t>
      </w:r>
      <w:r/>
    </w:p>
    <w:p>
      <w:pPr>
        <w:pStyle w:val="105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9"/>
        <w:widowControl w:val="off"/>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53"/>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监狱企业声明函</w:t>
      </w:r>
      <w:r/>
    </w:p>
    <w:p>
      <w:pPr>
        <w:pStyle w:val="1053"/>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本单位郑重声明，根据《关于政府采购支持监狱企业发展有关问题的通知》（财库〔2014〕68号）的规定，本单位为监狱企业。</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根据上述标准，我单位属于监狱企业的理由为：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053"/>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本单位参加</w:t>
      </w:r>
      <w:r>
        <w:rPr>
          <w:rFonts w:hint="eastAsia" w:ascii="宋体" w:hAnsi="宋体" w:eastAsia="宋体" w:cs="宋体"/>
          <w:color w:val="auto"/>
          <w:sz w:val="24"/>
          <w:szCs w:val="24"/>
          <w:highlight w:val="none"/>
          <w:u w:val="single"/>
        </w:rPr>
        <w:t xml:space="preserve">（采购人名称）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项目的采购活动，并由本单位为本项目提供服务。</w:t>
      </w:r>
      <w:r/>
    </w:p>
    <w:p>
      <w:pPr>
        <w:pStyle w:val="1053"/>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105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                  （加盖CA电子</w:t>
      </w:r>
      <w:r>
        <w:rPr>
          <w:rFonts w:hint="eastAsia" w:ascii="宋体" w:hAnsi="宋体" w:cs="宋体"/>
          <w:color w:val="auto"/>
          <w:sz w:val="24"/>
          <w:szCs w:val="24"/>
          <w:highlight w:val="none"/>
          <w:lang w:val="en-US" w:eastAsia="zh-CN"/>
        </w:rPr>
        <w:t xml:space="preserve">公</w:t>
      </w:r>
      <w:r>
        <w:rPr>
          <w:rFonts w:hint="eastAsia" w:ascii="宋体" w:hAnsi="宋体" w:eastAsia="宋体" w:cs="宋体"/>
          <w:color w:val="auto"/>
          <w:sz w:val="24"/>
          <w:szCs w:val="24"/>
          <w:highlight w:val="none"/>
        </w:rPr>
        <w:t xml:space="preserve">章）</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105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3"/>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1.监狱企业参加采购活动时，应当提供由省级以上监狱管理局、戒毒管理局（含新疆生产建设兵团）出具的属于监狱企业的证明文件。</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3.非监狱企业不需提供此声明函。</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9"/>
        <w:widowControl w:val="off"/>
        <w:rPr>
          <w:rFonts w:hint="eastAsia" w:ascii="宋体" w:hAnsi="宋体" w:eastAsia="宋体" w:cs="宋体"/>
          <w:color w:val="auto"/>
          <w:sz w:val="32"/>
          <w:szCs w:val="32"/>
          <w:highlight w:val="none"/>
          <w:lang w:val="zh-CN" w:eastAsia="zh-CN" w:bidi="ar-SA"/>
        </w:rPr>
      </w:pPr>
      <w:r>
        <w:rPr>
          <w:rFonts w:hint="eastAsia" w:ascii="宋体" w:hAnsi="宋体" w:eastAsia="宋体" w:cs="宋体"/>
          <w:color w:val="auto"/>
          <w:highlight w:val="none"/>
        </w:rPr>
        <w:br w:type="page" w:clear="all"/>
      </w:r>
      <w:bookmarkStart w:id="116" w:name="_Toc54372655"/>
      <w:r/>
      <w:bookmarkStart w:id="117" w:name="_Toc54372071"/>
      <w:r/>
      <w:bookmarkStart w:id="118" w:name="_Toc55654540"/>
      <w:r/>
      <w:bookmarkStart w:id="119" w:name="_Toc56141898"/>
      <w:r/>
      <w:bookmarkStart w:id="120" w:name="_Toc434481560"/>
      <w:r/>
      <w:bookmarkStart w:id="121" w:name="_Toc55705168"/>
      <w:r/>
      <w:bookmarkStart w:id="122" w:name="_Toc439777159"/>
      <w:r/>
      <w:bookmarkStart w:id="123" w:name="_Toc56139088"/>
      <w:r/>
      <w:bookmarkStart w:id="124" w:name="_Toc55639393"/>
      <w:r/>
      <w:bookmarkStart w:id="125" w:name="_Toc59896715"/>
      <w:r/>
      <w:bookmarkStart w:id="126" w:name="_Toc440442375"/>
      <w:r/>
      <w:bookmarkStart w:id="127" w:name="_Toc56153862"/>
      <w:r/>
      <w:bookmarkStart w:id="128" w:name="_Toc56409114"/>
      <w:r/>
      <w:bookmarkStart w:id="129" w:name="_Toc59900983"/>
      <w:r/>
      <w:bookmarkStart w:id="130" w:name="_Toc439777351"/>
      <w:r/>
      <w:bookmarkStart w:id="131" w:name="_Toc55707673"/>
      <w:r/>
      <w:bookmarkStart w:id="132" w:name="_Toc54372237"/>
      <w:r/>
      <w:r/>
    </w:p>
    <w:p>
      <w:pPr>
        <w:pStyle w:val="1059"/>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b/>
          <w:bCs/>
          <w:color w:val="auto"/>
          <w:sz w:val="32"/>
          <w:szCs w:val="32"/>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2"/>
          <w:szCs w:val="32"/>
          <w:highlight w:val="none"/>
          <w:lang w:val="en-US" w:eastAsia="zh-CN" w:bidi="ar-SA"/>
        </w:rPr>
        <w:t xml:space="preserve">关于符合本国产品标准的声明函</w:t>
      </w:r>
      <w:r/>
    </w:p>
    <w:p>
      <w:pPr>
        <w:pStyle w:val="105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0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1097"/>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1097"/>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1097"/>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1097"/>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1097"/>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097"/>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1097"/>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Style w:val="1097"/>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097"/>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097"/>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Style w:val="1097"/>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1097"/>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097"/>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Style w:val="1097"/>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10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w:t>
      </w:r>
      <w:r>
        <w:rPr>
          <w:rStyle w:val="1097"/>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1097"/>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1097"/>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097"/>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1097"/>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097"/>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097"/>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1097"/>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097"/>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10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10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1059"/>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1059"/>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供应商全称（加盖CA电子公章）：</w:t>
      </w:r>
      <w:r>
        <w:rPr>
          <w:rFonts w:hint="eastAsia" w:ascii="宋体" w:hAnsi="宋体" w:eastAsia="宋体" w:cs="宋体"/>
          <w:i w:val="0"/>
          <w:iCs w:val="0"/>
          <w:caps w:val="0"/>
          <w:color w:val="auto"/>
          <w:spacing w:val="0"/>
          <w:sz w:val="24"/>
          <w:szCs w:val="24"/>
          <w:highlight w:val="none"/>
          <w:shd w:val="clear" w:color="auto" w:fill="ffffff"/>
        </w:rPr>
        <w:t xml:space="preserve">      </w:t>
      </w:r>
      <w:r/>
    </w:p>
    <w:p>
      <w:pPr>
        <w:pStyle w:val="1059"/>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日期：　　　　　年　　月　日    </w:t>
      </w:r>
      <w:r/>
    </w:p>
    <w:p>
      <w:pPr>
        <w:pStyle w:val="10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0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059"/>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_____________________________</w:t>
      </w:r>
      <w:r/>
    </w:p>
    <w:p>
      <w:pPr>
        <w:pStyle w:val="10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1.产品如有型号，请在“产品名称”栏一并填写。</w:t>
      </w:r>
      <w:r/>
    </w:p>
    <w:p>
      <w:pPr>
        <w:pStyle w:val="10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10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10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4.该产品的关键组件要求实施前，“关键组件”栏可不填，下同。</w:t>
      </w:r>
      <w:r/>
    </w:p>
    <w:p>
      <w:pPr>
        <w:pStyle w:val="10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5.该产品的关键工序要求实施前，“关键工序”栏可不填，下同。</w:t>
      </w:r>
      <w:r/>
    </w:p>
    <w:p>
      <w:pPr>
        <w:pStyle w:val="1051"/>
        <w:keepLines w:val="0"/>
        <w:keepNext w:val="0"/>
        <w:pageBreakBefore w:val="0"/>
        <w:spacing w:line="360" w:lineRule="auto"/>
        <w:rPr>
          <w:rFonts w:hint="eastAsia" w:ascii="宋体" w:hAnsi="宋体" w:eastAsia="宋体" w:cs="宋体"/>
          <w:color w:val="auto"/>
          <w:sz w:val="21"/>
          <w:szCs w:val="21"/>
          <w:highlight w:val="none"/>
          <w:lang w:val="en-US" w:eastAsia="zh-CN" w:bidi="ar"/>
        </w:rPr>
        <w:sectPr>
          <w:footerReference w:type="default" r:id="rId11"/>
          <w:footnotePr/>
          <w:endnotePr/>
          <w:type w:val="nextPage"/>
          <w:pgSz w:w="11907" w:h="16840" w:orient="portrait"/>
          <w:pgMar w:top="1440" w:right="1463" w:bottom="1440" w:left="1463" w:header="851" w:footer="851" w:gutter="0"/>
          <w:cols w:num="1" w:sep="0" w:space="1701" w:equalWidth="1"/>
          <w:docGrid w:linePitch="360"/>
        </w:sectPr>
      </w:pPr>
      <w:r>
        <w:rPr>
          <w:rFonts w:hint="eastAsia" w:ascii="宋体" w:hAnsi="宋体" w:eastAsia="宋体" w:cs="宋体"/>
          <w:color w:val="auto"/>
          <w:sz w:val="21"/>
          <w:szCs w:val="21"/>
          <w:highlight w:val="none"/>
          <w:lang w:val="en-US" w:eastAsia="zh-CN" w:bidi="ar"/>
        </w:rPr>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
    </w:p>
    <w:p>
      <w:pPr>
        <w:jc w:val="center"/>
        <w:pageBreakBefore w:val="0"/>
        <w:spacing w:line="360" w:lineRule="auto"/>
        <w:rPr>
          <w:rFonts w:hint="eastAsia" w:ascii="宋体" w:hAnsi="宋体" w:eastAsia="宋体" w:cs="宋体"/>
          <w:b/>
          <w:bCs/>
          <w:color w:val="000000"/>
          <w:sz w:val="30"/>
          <w:szCs w:val="30"/>
        </w:rPr>
        <w:outlineLvl w:val="1"/>
      </w:pPr>
      <w:r>
        <w:rPr>
          <w:rFonts w:hint="eastAsia" w:ascii="宋体" w:hAnsi="宋体" w:cs="宋体"/>
          <w:b/>
          <w:bCs/>
          <w:color w:val="000000"/>
          <w:sz w:val="30"/>
          <w:szCs w:val="30"/>
          <w:lang w:val="en-US" w:eastAsia="zh-CN"/>
        </w:rPr>
        <w:t xml:space="preserve">九</w:t>
      </w:r>
      <w:r>
        <w:rPr>
          <w:rFonts w:hint="eastAsia" w:ascii="宋体" w:hAnsi="宋体" w:eastAsia="宋体" w:cs="宋体"/>
          <w:b/>
          <w:bCs/>
          <w:color w:val="000000"/>
          <w:sz w:val="30"/>
          <w:szCs w:val="30"/>
        </w:rPr>
        <w:t xml:space="preserve">、技术偏离表</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bl>
      <w:tblPr>
        <w:tblStyle w:val="828"/>
        <w:tblW w:w="9111" w:type="dxa"/>
        <w:tblInd w:w="-4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8"/>
        <w:gridCol w:w="2903"/>
        <w:gridCol w:w="2706"/>
        <w:gridCol w:w="1241"/>
        <w:gridCol w:w="1233"/>
      </w:tblGrid>
      <w:tr>
        <w:trPr>
          <w:cantSplit/>
        </w:trPr>
        <w:tc>
          <w:tcPr>
            <w:tcW w:w="102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903"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招标要求</w:t>
            </w:r>
            <w:r/>
          </w:p>
        </w:tc>
        <w:tc>
          <w:tcPr>
            <w:tcW w:w="2706"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w:t>
            </w:r>
            <w:r/>
          </w:p>
        </w:tc>
        <w:tc>
          <w:tcPr>
            <w:tcW w:w="1241"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有无偏离</w:t>
            </w:r>
            <w:r/>
          </w:p>
        </w:tc>
        <w:tc>
          <w:tcPr>
            <w:tcW w:w="1233"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偏离内容及原因</w:t>
            </w:r>
            <w:r/>
          </w:p>
        </w:tc>
      </w:tr>
      <w:tr>
        <w:trPr>
          <w:cantSplit/>
          <w:trHeight w:val="640"/>
        </w:trPr>
        <w:tc>
          <w:tcPr>
            <w:tcW w:w="102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0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2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0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2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0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2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0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2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0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2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0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2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0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2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0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6"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41"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06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6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Style w:val="106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6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法定代表人或授权委托人：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（签字或盖章）</w:t>
      </w:r>
      <w:r/>
    </w:p>
    <w:p>
      <w:pPr>
        <w:pStyle w:val="106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填写说明：</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rPr>
        <w:t xml:space="preserve">行数不够，可自行添加。</w:t>
      </w:r>
      <w:r/>
    </w:p>
    <w:p>
      <w:pPr>
        <w:pageBreakBefore w:val="0"/>
        <w:spacing w:line="360" w:lineRule="auto"/>
        <w:rPr>
          <w:rFonts w:hint="eastAsia" w:ascii="宋体" w:hAnsi="宋体" w:eastAsia="宋体" w:cs="宋体"/>
          <w:color w:val="000000"/>
          <w:sz w:val="24"/>
          <w:szCs w:val="24"/>
        </w:rPr>
        <w:sectPr>
          <w:footerReference w:type="default" r:id="rId12"/>
          <w:footnotePr/>
          <w:endnotePr/>
          <w:type w:val="nextPage"/>
          <w:pgSz w:w="11906" w:h="16838" w:orient="portrait"/>
          <w:pgMar w:top="1440" w:right="1800" w:bottom="1440" w:left="1800" w:header="851" w:footer="992" w:gutter="0"/>
          <w:pgNumType w:start="42"/>
          <w:cols w:num="1" w:sep="0" w:space="1701" w:equalWidth="1"/>
          <w:docGrid w:linePitch="360"/>
        </w:sectPr>
      </w:pPr>
      <w:r>
        <w:rPr>
          <w:rFonts w:hint="eastAsia" w:ascii="宋体" w:hAnsi="宋体" w:eastAsia="宋体" w:cs="宋体"/>
          <w:color w:val="000000"/>
          <w:sz w:val="24"/>
          <w:szCs w:val="24"/>
        </w:rPr>
      </w:r>
      <w:r/>
    </w:p>
    <w:p>
      <w:pPr>
        <w:pStyle w:val="1101"/>
        <w:ind w:left="0" w:firstLine="0"/>
        <w:jc w:val="center"/>
        <w:pageBreakBefore w:val="0"/>
        <w:spacing w:line="360" w:lineRule="auto"/>
        <w:rPr>
          <w:rFonts w:hint="eastAsia" w:ascii="宋体" w:hAnsi="宋体" w:eastAsia="宋体" w:cs="宋体"/>
          <w:color w:val="000000"/>
          <w:sz w:val="30"/>
          <w:szCs w:val="30"/>
        </w:rPr>
      </w:pPr>
      <w:r/>
      <w:bookmarkStart w:id="133" w:name="_Hlt26671380"/>
      <w:r/>
      <w:bookmarkEnd w:id="133"/>
      <w:r/>
      <w:bookmarkStart w:id="134" w:name="_Hlt26955054"/>
      <w:r/>
      <w:bookmarkEnd w:id="134"/>
      <w:r/>
      <w:bookmarkStart w:id="135" w:name="_Hlt26955066"/>
      <w:r/>
      <w:bookmarkEnd w:id="135"/>
      <w:r/>
      <w:bookmarkStart w:id="136" w:name="_Hlt26955070"/>
      <w:r/>
      <w:bookmarkEnd w:id="136"/>
      <w:r/>
      <w:bookmarkStart w:id="137" w:name="_Hlt26671374"/>
      <w:r/>
      <w:bookmarkEnd w:id="137"/>
      <w:r/>
      <w:bookmarkStart w:id="138" w:name="_格式3__银行出具的资信证明"/>
      <w:r/>
      <w:bookmarkEnd w:id="138"/>
      <w:r/>
      <w:bookmarkStart w:id="139" w:name="_Hlt26609389"/>
      <w:r/>
      <w:bookmarkEnd w:id="139"/>
      <w:r/>
      <w:bookmarkStart w:id="140" w:name="_Toc481072028"/>
      <w:r/>
      <w:bookmarkStart w:id="141" w:name="_Toc481071982"/>
      <w:r/>
      <w:bookmarkStart w:id="142" w:name="_Toc511899525"/>
      <w:r/>
      <w:bookmarkStart w:id="143" w:name="_Toc475009312"/>
      <w:r>
        <w:rPr>
          <w:rFonts w:hint="eastAsia" w:ascii="宋体" w:hAnsi="宋体" w:eastAsia="宋体" w:cs="宋体"/>
          <w:color w:val="000000"/>
          <w:sz w:val="30"/>
          <w:szCs w:val="30"/>
          <w:lang w:val="en-US" w:eastAsia="zh-CN"/>
        </w:rPr>
        <w:t xml:space="preserve">十</w:t>
      </w:r>
      <w:r>
        <w:rPr>
          <w:rFonts w:hint="eastAsia" w:ascii="宋体" w:hAnsi="宋体" w:eastAsia="宋体" w:cs="宋体"/>
          <w:color w:val="000000"/>
          <w:sz w:val="30"/>
          <w:szCs w:val="30"/>
        </w:rPr>
        <w:t xml:space="preserve">、商务偏离表</w:t>
      </w:r>
      <w:bookmarkEnd w:id="140"/>
      <w:r/>
      <w:bookmarkEnd w:id="141"/>
      <w:r/>
      <w:bookmarkEnd w:id="142"/>
      <w:r/>
      <w:bookmarkEnd w:id="143"/>
      <w:r/>
      <w:r/>
    </w:p>
    <w:tbl>
      <w:tblPr>
        <w:tblStyle w:val="828"/>
        <w:tblW w:w="8847" w:type="dxa"/>
        <w:tblInd w:w="-3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2668"/>
        <w:gridCol w:w="2063"/>
        <w:gridCol w:w="1404"/>
        <w:gridCol w:w="1583"/>
      </w:tblGrid>
      <w:tr>
        <w:trPr>
          <w:cantSplit/>
          <w:trHeight w:val="1601"/>
        </w:trPr>
        <w:tc>
          <w:tcPr>
            <w:tcW w:w="1129"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668"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招标要求</w:t>
            </w:r>
            <w:r/>
          </w:p>
        </w:tc>
        <w:tc>
          <w:tcPr>
            <w:tcW w:w="2063"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w:t>
            </w:r>
            <w:r/>
          </w:p>
        </w:tc>
        <w:tc>
          <w:tcPr>
            <w:tcW w:w="1404" w:type="dxa"/>
            <w:vAlign w:val="center"/>
            <w:textDirection w:val="lrTb"/>
            <w:noWrap w:val="false"/>
          </w:tcPr>
          <w:p>
            <w:pPr>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有无偏离</w:t>
            </w:r>
            <w:r/>
          </w:p>
        </w:tc>
        <w:tc>
          <w:tcPr>
            <w:tcW w:w="1583" w:type="dxa"/>
            <w:vAlign w:val="center"/>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偏离内容及原因</w:t>
            </w:r>
            <w:r/>
          </w:p>
        </w:tc>
      </w:tr>
      <w:tr>
        <w:trPr>
          <w:cantSplit/>
          <w:trHeight w:val="663"/>
        </w:trPr>
        <w:tc>
          <w:tcPr>
            <w:tcW w:w="1129"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63"/>
        </w:trPr>
        <w:tc>
          <w:tcPr>
            <w:tcW w:w="1129"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63"/>
        </w:trPr>
        <w:tc>
          <w:tcPr>
            <w:tcW w:w="1129"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63"/>
        </w:trPr>
        <w:tc>
          <w:tcPr>
            <w:tcW w:w="1129"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63"/>
        </w:trPr>
        <w:tc>
          <w:tcPr>
            <w:tcW w:w="1129"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63"/>
        </w:trPr>
        <w:tc>
          <w:tcPr>
            <w:tcW w:w="1129"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63"/>
        </w:trPr>
        <w:tc>
          <w:tcPr>
            <w:tcW w:w="1129"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73"/>
        </w:trPr>
        <w:tc>
          <w:tcPr>
            <w:tcW w:w="1129"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68"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6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83" w:type="dxa"/>
            <w:textDirection w:val="lrTb"/>
            <w:noWrap w:val="false"/>
          </w:tcPr>
          <w:p>
            <w:pPr>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06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Style w:val="830"/>
        <w:ind w:left="15" w:hanging="12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法定代表人或授权委托人：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（签字或盖章）</w:t>
      </w:r>
      <w:r/>
    </w:p>
    <w:p>
      <w:pPr>
        <w:ind w:hanging="315"/>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填写说明：</w:t>
      </w:r>
      <w:r/>
    </w:p>
    <w:p>
      <w:pPr>
        <w:numPr>
          <w:ilvl w:val="0"/>
          <w:numId w:val="11"/>
        </w:numPr>
        <w:ind w:firstLine="480"/>
        <w:pageBreakBefore w:val="0"/>
        <w:spacing w:line="360" w:lineRule="auto"/>
        <w:rPr>
          <w:rFonts w:hint="eastAsia" w:ascii="宋体" w:hAnsi="宋体" w:eastAsia="宋体" w:cs="宋体"/>
          <w:color w:val="auto"/>
          <w:highlight w:val="none"/>
        </w:rPr>
      </w:pPr>
      <w:r>
        <w:rPr>
          <w:rFonts w:hint="eastAsia" w:ascii="宋体" w:hAnsi="宋体" w:eastAsia="宋体" w:cs="宋体"/>
          <w:color w:val="000000"/>
          <w:sz w:val="24"/>
          <w:szCs w:val="24"/>
        </w:rPr>
        <w:t xml:space="preserve">行数不够，可自行添加</w:t>
      </w:r>
      <w:r>
        <w:rPr>
          <w:rFonts w:hint="eastAsia" w:ascii="宋体" w:hAnsi="宋体" w:cs="宋体"/>
          <w:color w:val="000000"/>
          <w:sz w:val="24"/>
          <w:szCs w:val="24"/>
          <w:lang w:eastAsia="zh-CN"/>
        </w:rPr>
        <w:t xml:space="preserve">。</w:t>
      </w:r>
      <w:r/>
    </w:p>
    <w:sectPr>
      <w:footerReference w:type="default" r:id="rId13"/>
      <w:footnotePr/>
      <w:endnotePr/>
      <w:type w:val="nextPage"/>
      <w:pgSz w:w="11906" w:h="16838" w:orient="portrait"/>
      <w:pgMar w:top="1440" w:right="1587" w:bottom="1440"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Tahoma">
    <w:panose1 w:val="020B0604030504040204"/>
  </w:font>
  <w:font w:name="Calibri">
    <w:panose1 w:val="020F0502020204030204"/>
  </w:font>
  <w:font w:name="仿宋">
    <w:panose1 w:val="02010609060101010101"/>
  </w:font>
  <w:font w:name="Adobe 仿宋 Std R">
    <w:panose1 w:val="020B0503020202020204"/>
  </w:font>
  <w:font w:name="方正黑体_GBK">
    <w:panose1 w:val="020B0503020202020204"/>
  </w:font>
  <w:font w:name="Cambria">
    <w:panose1 w:val="0204050305040603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tabs>
        <w:tab w:val="center" w:pos="4490" w:leader="none"/>
        <w:tab w:val="clear" w:pos="7143"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tabs>
        <w:tab w:val="center" w:pos="4490" w:leader="none"/>
        <w:tab w:val="clear" w:pos="7143"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tabs>
        <w:tab w:val="center" w:pos="4153" w:leader="none"/>
        <w:tab w:val="clear" w:pos="7143" w:leader="none"/>
        <w:tab w:val="right" w:pos="8306" w:leader="none"/>
        <w:tab w:val="clear" w:pos="14287" w:leader="none"/>
      </w:tabs>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39"/>
                            <w:tabs>
                              <w:tab w:val="clear" w:pos="7143" w:leader="none"/>
                              <w:tab w:val="clear" w:pos="14287" w:leader="none"/>
                            </w:tabs>
                          </w:pPr>
                          <w:r>
                            <w:fldChar w:fldCharType="begin"/>
                          </w:r>
                          <w:r>
                            <w:instrText xml:space="preserve"> PAGE  \* MERGEFORMAT </w:instrText>
                          </w:r>
                          <w:r>
                            <w:fldChar w:fldCharType="separate"/>
                          </w:r>
                          <w:r>
                            <w:t xml:space="preserve">12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39"/>
                      <w:tabs>
                        <w:tab w:val="clear" w:pos="7143" w:leader="none"/>
                        <w:tab w:val="clear" w:pos="14287" w:leader="none"/>
                      </w:tabs>
                    </w:pPr>
                    <w:r>
                      <w:fldChar w:fldCharType="begin"/>
                    </w:r>
                    <w:r>
                      <w:instrText xml:space="preserve"> PAGE  \* MERGEFORMAT </w:instrText>
                    </w:r>
                    <w:r>
                      <w:fldChar w:fldCharType="separate"/>
                    </w:r>
                    <w:r>
                      <w:t xml:space="preserve">12</w:t>
                    </w:r>
                    <w:r>
                      <w:fldChar w:fldCharType="end"/>
                    </w:r>
                    <w:r/>
                  </w:p>
                  <w:p>
                    <w:r/>
                    <w:r/>
                  </w:p>
                </w:txbxContent>
              </v:textbox>
            </v:shape>
          </w:pict>
        </mc:Fallback>
      </mc:AlternateContent>
    </w:r>
    <w:r/>
  </w:p>
  <w:p>
    <w:pPr>
      <w:pStyle w:val="839"/>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9685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96850"/>
                      </a:xfrm>
                      <a:prstGeom prst="rect">
                        <a:avLst/>
                      </a:prstGeom>
                      <a:noFill/>
                      <a:ln w="6350">
                        <a:noFill/>
                      </a:ln>
                    </wps:spPr>
                    <wps:txbx>
                      <w:txbxContent>
                        <w:p>
                          <w:pPr>
                            <w:pStyle w:val="1056"/>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5.5pt;mso-wrap-distance-left:9.0pt;mso-wrap-distance-top:0.0pt;mso-wrap-distance-right:9.0pt;mso-wrap-distance-bottom:0.0pt;visibility:visible;" filled="f" stroked="f" strokeweight="0.50pt">
              <v:textbox inset="0,0,0,0">
                <w:txbxContent>
                  <w:p>
                    <w:pPr>
                      <w:pStyle w:val="1056"/>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42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5"/>
  </w:num>
  <w:num w:numId="4">
    <w:abstractNumId w:val="3"/>
  </w:num>
  <w:num w:numId="5">
    <w:abstractNumId w:val="0"/>
  </w:num>
  <w:num w:numId="6">
    <w:abstractNumId w:val="2"/>
  </w:num>
  <w:num w:numId="7">
    <w:abstractNumId w:val="6"/>
  </w:num>
  <w:num w:numId="8">
    <w:abstractNumId w:val="10"/>
  </w:num>
  <w:num w:numId="9">
    <w:abstractNumId w:val="8"/>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7" w:default="1">
    <w:name w:val="Normal"/>
    <w:link w:val="1098"/>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818">
    <w:name w:val="Heading 1"/>
    <w:basedOn w:val="817"/>
    <w:next w:val="817"/>
    <w:link w:val="897"/>
    <w:uiPriority w:val="9"/>
    <w:qFormat/>
    <w:pPr>
      <w:keepLines/>
      <w:keepNext/>
      <w:spacing w:before="480" w:after="200"/>
      <w:outlineLvl w:val="0"/>
    </w:pPr>
    <w:rPr>
      <w:rFonts w:ascii="Arial" w:hAnsi="Arial" w:eastAsia="Arial" w:cs="Arial"/>
      <w:sz w:val="40"/>
      <w:szCs w:val="40"/>
    </w:rPr>
  </w:style>
  <w:style w:type="paragraph" w:styleId="819">
    <w:name w:val="Heading 2"/>
    <w:basedOn w:val="817"/>
    <w:next w:val="817"/>
    <w:link w:val="898"/>
    <w:uiPriority w:val="9"/>
    <w:unhideWhenUsed/>
    <w:qFormat/>
    <w:pPr>
      <w:keepLines/>
      <w:keepNext/>
      <w:spacing w:before="360" w:after="200"/>
      <w:outlineLvl w:val="1"/>
    </w:pPr>
    <w:rPr>
      <w:rFonts w:ascii="Arial" w:hAnsi="Arial" w:eastAsia="Arial" w:cs="Arial"/>
      <w:sz w:val="34"/>
    </w:rPr>
  </w:style>
  <w:style w:type="paragraph" w:styleId="820">
    <w:name w:val="Heading 3"/>
    <w:basedOn w:val="817"/>
    <w:next w:val="817"/>
    <w:link w:val="859"/>
    <w:uiPriority w:val="9"/>
    <w:unhideWhenUsed/>
    <w:qFormat/>
    <w:pPr>
      <w:keepLines/>
      <w:keepNext/>
      <w:spacing w:before="320" w:after="200"/>
      <w:outlineLvl w:val="2"/>
    </w:pPr>
    <w:rPr>
      <w:rFonts w:ascii="Arial" w:hAnsi="Arial" w:eastAsia="Arial" w:cs="Arial"/>
      <w:sz w:val="30"/>
      <w:szCs w:val="30"/>
    </w:rPr>
  </w:style>
  <w:style w:type="paragraph" w:styleId="821">
    <w:name w:val="Heading 4"/>
    <w:basedOn w:val="817"/>
    <w:next w:val="817"/>
    <w:link w:val="899"/>
    <w:uiPriority w:val="9"/>
    <w:unhideWhenUsed/>
    <w:qFormat/>
    <w:pPr>
      <w:keepLines/>
      <w:keepNext/>
      <w:spacing w:before="320" w:after="200"/>
      <w:outlineLvl w:val="3"/>
    </w:pPr>
    <w:rPr>
      <w:rFonts w:ascii="Arial" w:hAnsi="Arial" w:eastAsia="Arial" w:cs="Arial"/>
      <w:b/>
      <w:bCs/>
      <w:sz w:val="26"/>
      <w:szCs w:val="26"/>
    </w:rPr>
  </w:style>
  <w:style w:type="paragraph" w:styleId="822">
    <w:name w:val="Heading 5"/>
    <w:basedOn w:val="817"/>
    <w:next w:val="817"/>
    <w:link w:val="900"/>
    <w:uiPriority w:val="9"/>
    <w:unhideWhenUsed/>
    <w:qFormat/>
    <w:pPr>
      <w:keepLines/>
      <w:keepNext/>
      <w:spacing w:before="320" w:after="200"/>
      <w:outlineLvl w:val="4"/>
    </w:pPr>
    <w:rPr>
      <w:rFonts w:ascii="Arial" w:hAnsi="Arial" w:eastAsia="Arial" w:cs="Arial"/>
      <w:b/>
      <w:bCs/>
      <w:sz w:val="24"/>
    </w:rPr>
  </w:style>
  <w:style w:type="paragraph" w:styleId="823">
    <w:name w:val="Heading 6"/>
    <w:basedOn w:val="817"/>
    <w:next w:val="817"/>
    <w:link w:val="901"/>
    <w:uiPriority w:val="9"/>
    <w:unhideWhenUsed/>
    <w:qFormat/>
    <w:pPr>
      <w:keepLines/>
      <w:keepNext/>
      <w:spacing w:before="320" w:after="200"/>
      <w:outlineLvl w:val="5"/>
    </w:pPr>
    <w:rPr>
      <w:rFonts w:ascii="Arial" w:hAnsi="Arial" w:eastAsia="Arial" w:cs="Arial"/>
      <w:b/>
      <w:bCs/>
      <w:sz w:val="22"/>
      <w:szCs w:val="22"/>
    </w:rPr>
  </w:style>
  <w:style w:type="paragraph" w:styleId="824">
    <w:name w:val="Heading 7"/>
    <w:basedOn w:val="817"/>
    <w:next w:val="817"/>
    <w:link w:val="902"/>
    <w:uiPriority w:val="9"/>
    <w:unhideWhenUsed/>
    <w:qFormat/>
    <w:pPr>
      <w:keepLines/>
      <w:keepNext/>
      <w:spacing w:before="320" w:after="200"/>
      <w:outlineLvl w:val="6"/>
    </w:pPr>
    <w:rPr>
      <w:rFonts w:ascii="Arial" w:hAnsi="Arial" w:eastAsia="Arial" w:cs="Arial"/>
      <w:b/>
      <w:bCs/>
      <w:i/>
      <w:iCs/>
      <w:sz w:val="22"/>
      <w:szCs w:val="22"/>
    </w:rPr>
  </w:style>
  <w:style w:type="paragraph" w:styleId="825">
    <w:name w:val="Heading 8"/>
    <w:basedOn w:val="817"/>
    <w:next w:val="817"/>
    <w:link w:val="903"/>
    <w:uiPriority w:val="9"/>
    <w:unhideWhenUsed/>
    <w:qFormat/>
    <w:pPr>
      <w:keepLines/>
      <w:keepNext/>
      <w:spacing w:before="320" w:after="200"/>
      <w:outlineLvl w:val="7"/>
    </w:pPr>
    <w:rPr>
      <w:rFonts w:ascii="Arial" w:hAnsi="Arial" w:eastAsia="Arial" w:cs="Arial"/>
      <w:i/>
      <w:iCs/>
      <w:sz w:val="22"/>
      <w:szCs w:val="22"/>
    </w:rPr>
  </w:style>
  <w:style w:type="paragraph" w:styleId="826">
    <w:name w:val="Heading 9"/>
    <w:basedOn w:val="817"/>
    <w:next w:val="817"/>
    <w:link w:val="904"/>
    <w:uiPriority w:val="9"/>
    <w:unhideWhenUsed/>
    <w:qFormat/>
    <w:pPr>
      <w:keepLines/>
      <w:keepNext/>
      <w:spacing w:before="320" w:after="200"/>
      <w:outlineLvl w:val="8"/>
    </w:pPr>
    <w:rPr>
      <w:rFonts w:ascii="Arial" w:hAnsi="Arial" w:eastAsia="Arial" w:cs="Arial"/>
      <w:i/>
      <w:iCs/>
      <w:szCs w:val="21"/>
    </w:rPr>
  </w:style>
  <w:style w:type="character" w:styleId="827" w:default="1">
    <w:name w:val="Default Paragraph Font"/>
    <w:uiPriority w:val="1"/>
    <w:semiHidden/>
    <w:unhideWhenUsed/>
    <w:qFormat/>
  </w:style>
  <w:style w:type="table" w:styleId="828" w:default="1">
    <w:name w:val="Normal Table"/>
    <w:uiPriority w:val="99"/>
    <w:semiHidden/>
    <w:unhideWhenUsed/>
    <w:qFormat/>
    <w:tblPr>
      <w:tblCellMar>
        <w:left w:w="108" w:type="dxa"/>
        <w:top w:w="0" w:type="dxa"/>
        <w:right w:w="108" w:type="dxa"/>
        <w:bottom w:w="0" w:type="dxa"/>
      </w:tblCellMar>
    </w:tblPr>
  </w:style>
  <w:style w:type="paragraph" w:styleId="829">
    <w:name w:val="toc 7"/>
    <w:basedOn w:val="817"/>
    <w:next w:val="817"/>
    <w:uiPriority w:val="39"/>
    <w:unhideWhenUsed/>
    <w:qFormat/>
    <w:pPr>
      <w:ind w:left="1701"/>
      <w:spacing w:after="57"/>
    </w:pPr>
  </w:style>
  <w:style w:type="paragraph" w:styleId="830">
    <w:name w:val="Normal Indent"/>
    <w:basedOn w:val="817"/>
    <w:link w:val="1093"/>
    <w:uiPriority w:val="0"/>
    <w:qFormat/>
    <w:pPr>
      <w:ind w:firstLine="420"/>
      <w:spacing w:line="240" w:lineRule="auto"/>
    </w:pPr>
    <w:rPr>
      <w:szCs w:val="20"/>
    </w:rPr>
  </w:style>
  <w:style w:type="paragraph" w:styleId="831">
    <w:name w:val="Caption"/>
    <w:basedOn w:val="817"/>
    <w:next w:val="8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2">
    <w:name w:val="annotation text"/>
    <w:basedOn w:val="817"/>
    <w:uiPriority w:val="0"/>
    <w:qFormat/>
    <w:pPr>
      <w:jc w:val="left"/>
    </w:pPr>
  </w:style>
  <w:style w:type="paragraph" w:styleId="833">
    <w:name w:val="Body Text"/>
    <w:basedOn w:val="817"/>
    <w:uiPriority w:val="0"/>
    <w:qFormat/>
    <w:pPr>
      <w:spacing w:after="120"/>
    </w:pPr>
  </w:style>
  <w:style w:type="paragraph" w:styleId="834">
    <w:name w:val="toc 5"/>
    <w:basedOn w:val="817"/>
    <w:next w:val="817"/>
    <w:uiPriority w:val="39"/>
    <w:unhideWhenUsed/>
    <w:qFormat/>
    <w:pPr>
      <w:ind w:left="1134"/>
      <w:spacing w:after="57"/>
    </w:pPr>
  </w:style>
  <w:style w:type="paragraph" w:styleId="835">
    <w:name w:val="toc 3"/>
    <w:basedOn w:val="817"/>
    <w:next w:val="817"/>
    <w:uiPriority w:val="39"/>
    <w:unhideWhenUsed/>
    <w:qFormat/>
    <w:pPr>
      <w:ind w:left="567"/>
      <w:spacing w:after="57"/>
    </w:pPr>
  </w:style>
  <w:style w:type="paragraph" w:styleId="836">
    <w:name w:val="Plain Text"/>
    <w:basedOn w:val="817"/>
    <w:next w:val="830"/>
    <w:uiPriority w:val="0"/>
    <w:qFormat/>
    <w:rPr>
      <w:rFonts w:ascii="宋体" w:hAnsi="Courier New" w:cs="Courier New"/>
      <w:sz w:val="20"/>
      <w:szCs w:val="21"/>
    </w:rPr>
  </w:style>
  <w:style w:type="paragraph" w:styleId="837">
    <w:name w:val="toc 8"/>
    <w:basedOn w:val="817"/>
    <w:next w:val="817"/>
    <w:uiPriority w:val="39"/>
    <w:unhideWhenUsed/>
    <w:qFormat/>
    <w:pPr>
      <w:ind w:left="1984"/>
      <w:spacing w:after="57"/>
    </w:pPr>
  </w:style>
  <w:style w:type="paragraph" w:styleId="838">
    <w:name w:val="endnote text"/>
    <w:basedOn w:val="817"/>
    <w:link w:val="1042"/>
    <w:uiPriority w:val="99"/>
    <w:semiHidden/>
    <w:unhideWhenUsed/>
    <w:qFormat/>
    <w:pPr>
      <w:spacing w:line="240" w:lineRule="auto"/>
    </w:pPr>
    <w:rPr>
      <w:sz w:val="20"/>
    </w:rPr>
  </w:style>
  <w:style w:type="paragraph" w:styleId="839">
    <w:name w:val="Footer"/>
    <w:basedOn w:val="817"/>
    <w:link w:val="915"/>
    <w:uiPriority w:val="99"/>
    <w:unhideWhenUsed/>
    <w:qFormat/>
    <w:pPr>
      <w:spacing w:line="240" w:lineRule="auto"/>
      <w:tabs>
        <w:tab w:val="center" w:pos="7143" w:leader="none"/>
        <w:tab w:val="right" w:pos="14287" w:leader="none"/>
      </w:tabs>
    </w:pPr>
  </w:style>
  <w:style w:type="paragraph" w:styleId="840">
    <w:name w:val="Header"/>
    <w:basedOn w:val="817"/>
    <w:link w:val="913"/>
    <w:uiPriority w:val="99"/>
    <w:unhideWhenUsed/>
    <w:qFormat/>
    <w:pPr>
      <w:spacing w:line="240" w:lineRule="auto"/>
      <w:tabs>
        <w:tab w:val="center" w:pos="7143" w:leader="none"/>
        <w:tab w:val="right" w:pos="14287" w:leader="none"/>
      </w:tabs>
    </w:pPr>
  </w:style>
  <w:style w:type="paragraph" w:styleId="841">
    <w:name w:val="toc 1"/>
    <w:basedOn w:val="817"/>
    <w:next w:val="817"/>
    <w:uiPriority w:val="39"/>
    <w:unhideWhenUsed/>
    <w:qFormat/>
    <w:pPr>
      <w:spacing w:after="57"/>
    </w:pPr>
  </w:style>
  <w:style w:type="paragraph" w:styleId="842">
    <w:name w:val="toc 4"/>
    <w:basedOn w:val="817"/>
    <w:next w:val="817"/>
    <w:uiPriority w:val="39"/>
    <w:unhideWhenUsed/>
    <w:qFormat/>
    <w:pPr>
      <w:ind w:left="850"/>
      <w:spacing w:after="57"/>
    </w:pPr>
  </w:style>
  <w:style w:type="paragraph" w:styleId="843">
    <w:name w:val="Subtitle"/>
    <w:basedOn w:val="817"/>
    <w:next w:val="817"/>
    <w:link w:val="908"/>
    <w:uiPriority w:val="11"/>
    <w:qFormat/>
    <w:pPr>
      <w:spacing w:before="200" w:after="200"/>
    </w:pPr>
    <w:rPr>
      <w:sz w:val="24"/>
    </w:rPr>
  </w:style>
  <w:style w:type="paragraph" w:styleId="844">
    <w:name w:val="footnote text"/>
    <w:basedOn w:val="817"/>
    <w:link w:val="1041"/>
    <w:uiPriority w:val="99"/>
    <w:semiHidden/>
    <w:unhideWhenUsed/>
    <w:qFormat/>
    <w:pPr>
      <w:spacing w:after="40" w:line="240" w:lineRule="auto"/>
    </w:pPr>
    <w:rPr>
      <w:sz w:val="18"/>
    </w:rPr>
  </w:style>
  <w:style w:type="paragraph" w:styleId="845">
    <w:name w:val="toc 6"/>
    <w:basedOn w:val="817"/>
    <w:next w:val="817"/>
    <w:uiPriority w:val="39"/>
    <w:unhideWhenUsed/>
    <w:qFormat/>
    <w:pPr>
      <w:ind w:left="1417"/>
      <w:spacing w:after="57"/>
    </w:pPr>
  </w:style>
  <w:style w:type="paragraph" w:styleId="846">
    <w:name w:val="table of figures"/>
    <w:basedOn w:val="817"/>
    <w:next w:val="817"/>
    <w:uiPriority w:val="99"/>
    <w:unhideWhenUsed/>
    <w:qFormat/>
  </w:style>
  <w:style w:type="paragraph" w:styleId="847">
    <w:name w:val="toc 2"/>
    <w:basedOn w:val="817"/>
    <w:next w:val="817"/>
    <w:uiPriority w:val="39"/>
    <w:unhideWhenUsed/>
    <w:qFormat/>
    <w:pPr>
      <w:ind w:left="283"/>
      <w:spacing w:after="57"/>
    </w:pPr>
  </w:style>
  <w:style w:type="paragraph" w:styleId="848">
    <w:name w:val="toc 9"/>
    <w:basedOn w:val="817"/>
    <w:next w:val="817"/>
    <w:uiPriority w:val="39"/>
    <w:unhideWhenUsed/>
    <w:qFormat/>
    <w:pPr>
      <w:ind w:left="2268"/>
      <w:spacing w:after="57"/>
    </w:pPr>
  </w:style>
  <w:style w:type="paragraph" w:styleId="849">
    <w:name w:val="Body Text 2"/>
    <w:uiPriority w:val="0"/>
    <w:qFormat/>
    <w:pPr>
      <w:spacing w:after="120" w:line="480" w:lineRule="auto"/>
    </w:pPr>
    <w:rPr>
      <w:rFonts w:hint="default" w:ascii="Arial" w:hAnsi="Arial" w:eastAsia="Arial" w:cs="Arial"/>
      <w:color w:val="000000"/>
      <w:sz w:val="21"/>
      <w:szCs w:val="21"/>
      <w:lang w:val="en-US" w:eastAsia="en-US" w:bidi="ar-SA"/>
    </w:rPr>
  </w:style>
  <w:style w:type="paragraph" w:styleId="850">
    <w:name w:val="HTML Preformatted"/>
    <w:basedOn w:val="817"/>
    <w:link w:val="1094"/>
    <w:uiPriority w:val="99"/>
    <w:semiHidden/>
    <w:unhideWhenUsed/>
    <w:qFormat/>
    <w:rPr>
      <w:rFonts w:ascii="Courier New" w:hAnsi="Courier New" w:cs="Courier New"/>
      <w:sz w:val="20"/>
      <w:szCs w:val="20"/>
    </w:rPr>
  </w:style>
  <w:style w:type="paragraph" w:styleId="851">
    <w:name w:val="Normal (Web)"/>
    <w:basedOn w:val="817"/>
    <w:uiPriority w:val="0"/>
    <w:qFormat/>
    <w:pPr>
      <w:jc w:val="left"/>
      <w:spacing w:before="100" w:beforeAutospacing="1" w:after="100" w:afterAutospacing="1"/>
      <w:widowControl/>
    </w:pPr>
    <w:rPr>
      <w:rFonts w:ascii="宋体" w:hAnsi="宋体" w:cs="宋体"/>
      <w:sz w:val="24"/>
      <w:szCs w:val="24"/>
    </w:rPr>
  </w:style>
  <w:style w:type="paragraph" w:styleId="852">
    <w:name w:val="Title"/>
    <w:basedOn w:val="817"/>
    <w:next w:val="817"/>
    <w:link w:val="907"/>
    <w:uiPriority w:val="10"/>
    <w:qFormat/>
    <w:pPr>
      <w:contextualSpacing/>
      <w:spacing w:before="300" w:after="200"/>
    </w:pPr>
    <w:rPr>
      <w:sz w:val="48"/>
      <w:szCs w:val="48"/>
    </w:rPr>
  </w:style>
  <w:style w:type="paragraph" w:styleId="853">
    <w:name w:val="Body Text First Indent"/>
    <w:basedOn w:val="833"/>
    <w:uiPriority w:val="99"/>
    <w:unhideWhenUsed/>
    <w:qFormat/>
    <w:pPr>
      <w:ind w:firstLine="200"/>
      <w:spacing w:line="360" w:lineRule="auto"/>
    </w:pPr>
    <w:rPr>
      <w:rFonts w:ascii="仿宋_GB2312" w:hAnsi="Times New Roman" w:eastAsia="仿宋_GB2312"/>
      <w:sz w:val="30"/>
      <w:szCs w:val="30"/>
    </w:rPr>
  </w:style>
  <w:style w:type="table" w:styleId="8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5">
    <w:name w:val="Strong"/>
    <w:uiPriority w:val="0"/>
    <w:qFormat/>
    <w:rPr>
      <w:b/>
      <w:bCs/>
    </w:rPr>
  </w:style>
  <w:style w:type="character" w:styleId="856">
    <w:name w:val="endnote reference"/>
    <w:uiPriority w:val="99"/>
    <w:semiHidden/>
    <w:unhideWhenUsed/>
    <w:qFormat/>
    <w:rPr>
      <w:vertAlign w:val="superscript"/>
    </w:rPr>
  </w:style>
  <w:style w:type="character" w:styleId="857">
    <w:name w:val="Hyperlink"/>
    <w:basedOn w:val="827"/>
    <w:uiPriority w:val="99"/>
    <w:unhideWhenUsed/>
    <w:qFormat/>
    <w:rPr>
      <w:color w:val="0000ff" w:themeColor="hyperlink"/>
      <w:u w:val="single"/>
      <w14:textFill>
        <w14:solidFill>
          <w14:schemeClr w14:val="hlink"/>
        </w14:solidFill>
      </w14:textFill>
    </w:rPr>
  </w:style>
  <w:style w:type="character" w:styleId="858">
    <w:name w:val="footnote reference"/>
    <w:uiPriority w:val="99"/>
    <w:unhideWhenUsed/>
    <w:qFormat/>
    <w:rPr>
      <w:vertAlign w:val="superscript"/>
    </w:rPr>
  </w:style>
  <w:style w:type="character" w:styleId="859" w:customStyle="1">
    <w:name w:val="标题 3 字符"/>
    <w:link w:val="820"/>
    <w:uiPriority w:val="9"/>
    <w:qFormat/>
    <w:rPr>
      <w:rFonts w:ascii="Arial" w:hAnsi="Arial" w:eastAsia="Arial" w:cs="Arial"/>
      <w:sz w:val="30"/>
      <w:szCs w:val="30"/>
    </w:rPr>
  </w:style>
  <w:style w:type="character" w:styleId="860" w:customStyle="1">
    <w:name w:val="Heading 1 Char"/>
    <w:basedOn w:val="827"/>
    <w:uiPriority w:val="9"/>
    <w:qFormat/>
    <w:rPr>
      <w:rFonts w:ascii="Arial" w:hAnsi="Arial" w:eastAsia="Arial" w:cs="Arial"/>
      <w:sz w:val="40"/>
      <w:szCs w:val="40"/>
    </w:rPr>
  </w:style>
  <w:style w:type="character" w:styleId="861" w:customStyle="1">
    <w:name w:val="Heading 2 Char"/>
    <w:basedOn w:val="827"/>
    <w:uiPriority w:val="9"/>
    <w:qFormat/>
    <w:rPr>
      <w:rFonts w:ascii="Arial" w:hAnsi="Arial" w:eastAsia="Arial" w:cs="Arial"/>
      <w:sz w:val="34"/>
    </w:rPr>
  </w:style>
  <w:style w:type="character" w:styleId="862" w:customStyle="1">
    <w:name w:val="Heading 3 Char"/>
    <w:basedOn w:val="827"/>
    <w:uiPriority w:val="9"/>
    <w:qFormat/>
    <w:rPr>
      <w:rFonts w:ascii="Arial" w:hAnsi="Arial" w:eastAsia="Arial" w:cs="Arial"/>
      <w:sz w:val="30"/>
      <w:szCs w:val="30"/>
    </w:rPr>
  </w:style>
  <w:style w:type="character" w:styleId="863" w:customStyle="1">
    <w:name w:val="Heading 4 Char"/>
    <w:basedOn w:val="827"/>
    <w:uiPriority w:val="9"/>
    <w:qFormat/>
    <w:rPr>
      <w:rFonts w:ascii="Arial" w:hAnsi="Arial" w:eastAsia="Arial" w:cs="Arial"/>
      <w:b/>
      <w:bCs/>
      <w:sz w:val="26"/>
      <w:szCs w:val="26"/>
    </w:rPr>
  </w:style>
  <w:style w:type="character" w:styleId="864" w:customStyle="1">
    <w:name w:val="Heading 5 Char"/>
    <w:basedOn w:val="827"/>
    <w:uiPriority w:val="9"/>
    <w:qFormat/>
    <w:rPr>
      <w:rFonts w:ascii="Arial" w:hAnsi="Arial" w:eastAsia="Arial" w:cs="Arial"/>
      <w:b/>
      <w:bCs/>
      <w:sz w:val="24"/>
      <w:szCs w:val="24"/>
    </w:rPr>
  </w:style>
  <w:style w:type="character" w:styleId="865" w:customStyle="1">
    <w:name w:val="Heading 6 Char"/>
    <w:basedOn w:val="827"/>
    <w:uiPriority w:val="9"/>
    <w:qFormat/>
    <w:rPr>
      <w:rFonts w:ascii="Arial" w:hAnsi="Arial" w:eastAsia="Arial" w:cs="Arial"/>
      <w:b/>
      <w:bCs/>
      <w:sz w:val="22"/>
      <w:szCs w:val="22"/>
    </w:rPr>
  </w:style>
  <w:style w:type="character" w:styleId="866" w:customStyle="1">
    <w:name w:val="Heading 7 Char"/>
    <w:basedOn w:val="827"/>
    <w:uiPriority w:val="9"/>
    <w:qFormat/>
    <w:rPr>
      <w:rFonts w:ascii="Arial" w:hAnsi="Arial" w:eastAsia="Arial" w:cs="Arial"/>
      <w:b/>
      <w:bCs/>
      <w:i/>
      <w:iCs/>
      <w:sz w:val="22"/>
      <w:szCs w:val="22"/>
    </w:rPr>
  </w:style>
  <w:style w:type="character" w:styleId="867" w:customStyle="1">
    <w:name w:val="Heading 8 Char"/>
    <w:basedOn w:val="827"/>
    <w:uiPriority w:val="9"/>
    <w:qFormat/>
    <w:rPr>
      <w:rFonts w:ascii="Arial" w:hAnsi="Arial" w:eastAsia="Arial" w:cs="Arial"/>
      <w:i/>
      <w:iCs/>
      <w:sz w:val="22"/>
      <w:szCs w:val="22"/>
    </w:rPr>
  </w:style>
  <w:style w:type="character" w:styleId="868" w:customStyle="1">
    <w:name w:val="Heading 9 Char"/>
    <w:basedOn w:val="827"/>
    <w:uiPriority w:val="9"/>
    <w:qFormat/>
    <w:rPr>
      <w:rFonts w:ascii="Arial" w:hAnsi="Arial" w:eastAsia="Arial" w:cs="Arial"/>
      <w:i/>
      <w:iCs/>
      <w:sz w:val="21"/>
      <w:szCs w:val="21"/>
    </w:rPr>
  </w:style>
  <w:style w:type="character" w:styleId="869" w:customStyle="1">
    <w:name w:val="Title Char"/>
    <w:basedOn w:val="827"/>
    <w:uiPriority w:val="10"/>
    <w:qFormat/>
    <w:rPr>
      <w:sz w:val="48"/>
      <w:szCs w:val="48"/>
    </w:rPr>
  </w:style>
  <w:style w:type="character" w:styleId="870" w:customStyle="1">
    <w:name w:val="Subtitle Char"/>
    <w:basedOn w:val="827"/>
    <w:uiPriority w:val="11"/>
    <w:qFormat/>
    <w:rPr>
      <w:sz w:val="24"/>
      <w:szCs w:val="24"/>
    </w:rPr>
  </w:style>
  <w:style w:type="character" w:styleId="871" w:customStyle="1">
    <w:name w:val="Quote Char"/>
    <w:uiPriority w:val="29"/>
    <w:qFormat/>
    <w:rPr>
      <w:i/>
    </w:rPr>
  </w:style>
  <w:style w:type="character" w:styleId="872" w:customStyle="1">
    <w:name w:val="Intense Quote Char"/>
    <w:uiPriority w:val="30"/>
    <w:qFormat/>
    <w:rPr>
      <w:i/>
    </w:rPr>
  </w:style>
  <w:style w:type="character" w:styleId="873" w:customStyle="1">
    <w:name w:val="Header Char"/>
    <w:basedOn w:val="827"/>
    <w:uiPriority w:val="99"/>
    <w:qFormat/>
  </w:style>
  <w:style w:type="character" w:styleId="874" w:customStyle="1">
    <w:name w:val="Caption Char"/>
    <w:uiPriority w:val="99"/>
    <w:qFormat/>
  </w:style>
  <w:style w:type="table" w:styleId="875" w:customStyle="1">
    <w:name w:val="Plain Table 1"/>
    <w:basedOn w:val="8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2"/>
    <w:basedOn w:val="82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3"/>
    <w:basedOn w:val="8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Plain Table 4"/>
    <w:basedOn w:val="8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Plain Table 5"/>
    <w:basedOn w:val="8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Grid Table 1 Light"/>
    <w:basedOn w:val="82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1" w:customStyle="1">
    <w:name w:val="Grid Table 2"/>
    <w:basedOn w:val="8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3"/>
    <w:basedOn w:val="8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4"/>
    <w:basedOn w:val="82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customStyle="1">
    <w:name w:val="Grid Table 5 Dark"/>
    <w:basedOn w:val="8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6 Colorful"/>
    <w:basedOn w:val="82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Grid Table 7 Colorful"/>
    <w:basedOn w:val="82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1 Light"/>
    <w:basedOn w:val="82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2"/>
    <w:basedOn w:val="82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3"/>
    <w:basedOn w:val="8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w:basedOn w:val="8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5 Dark"/>
    <w:basedOn w:val="82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w:basedOn w:val="82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7 Colorful"/>
    <w:basedOn w:val="82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4" w:customStyle="1">
    <w:name w:val="Footnote Text Char"/>
    <w:uiPriority w:val="99"/>
    <w:qFormat/>
    <w:rPr>
      <w:sz w:val="18"/>
    </w:rPr>
  </w:style>
  <w:style w:type="character" w:styleId="895" w:customStyle="1">
    <w:name w:val="Endnote Text Char"/>
    <w:uiPriority w:val="99"/>
    <w:qFormat/>
    <w:rPr>
      <w:sz w:val="20"/>
    </w:rPr>
  </w:style>
  <w:style w:type="paragraph" w:styleId="896" w:customStyle="1">
    <w:name w:val="TOC Heading"/>
    <w:uiPriority w:val="39"/>
    <w:unhideWhenUsed/>
    <w:qFormat/>
    <w:rPr>
      <w:rFonts w:hint="default" w:ascii="Times New Roman" w:hAnsi="Times New Roman" w:eastAsia="宋体" w:cs="Times New Roman"/>
    </w:rPr>
  </w:style>
  <w:style w:type="character" w:styleId="897" w:customStyle="1">
    <w:name w:val="标题 1 字符"/>
    <w:link w:val="818"/>
    <w:uiPriority w:val="9"/>
    <w:qFormat/>
    <w:rPr>
      <w:rFonts w:ascii="Arial" w:hAnsi="Arial" w:eastAsia="Arial" w:cs="Arial"/>
      <w:sz w:val="40"/>
      <w:szCs w:val="40"/>
    </w:rPr>
  </w:style>
  <w:style w:type="character" w:styleId="898" w:customStyle="1">
    <w:name w:val="标题 2 字符"/>
    <w:link w:val="819"/>
    <w:uiPriority w:val="9"/>
    <w:qFormat/>
    <w:rPr>
      <w:rFonts w:ascii="Arial" w:hAnsi="Arial" w:eastAsia="Arial" w:cs="Arial"/>
      <w:sz w:val="34"/>
    </w:rPr>
  </w:style>
  <w:style w:type="character" w:styleId="899" w:customStyle="1">
    <w:name w:val="标题 4 字符"/>
    <w:link w:val="821"/>
    <w:uiPriority w:val="9"/>
    <w:qFormat/>
    <w:rPr>
      <w:rFonts w:ascii="Arial" w:hAnsi="Arial" w:eastAsia="Arial" w:cs="Arial"/>
      <w:b/>
      <w:bCs/>
      <w:sz w:val="26"/>
      <w:szCs w:val="26"/>
    </w:rPr>
  </w:style>
  <w:style w:type="character" w:styleId="900" w:customStyle="1">
    <w:name w:val="标题 5 字符"/>
    <w:link w:val="822"/>
    <w:uiPriority w:val="9"/>
    <w:qFormat/>
    <w:rPr>
      <w:rFonts w:ascii="Arial" w:hAnsi="Arial" w:eastAsia="Arial" w:cs="Arial"/>
      <w:b/>
      <w:bCs/>
      <w:sz w:val="24"/>
      <w:szCs w:val="24"/>
    </w:rPr>
  </w:style>
  <w:style w:type="character" w:styleId="901" w:customStyle="1">
    <w:name w:val="标题 6 字符"/>
    <w:link w:val="823"/>
    <w:uiPriority w:val="9"/>
    <w:qFormat/>
    <w:rPr>
      <w:rFonts w:ascii="Arial" w:hAnsi="Arial" w:eastAsia="Arial" w:cs="Arial"/>
      <w:b/>
      <w:bCs/>
      <w:sz w:val="22"/>
      <w:szCs w:val="22"/>
    </w:rPr>
  </w:style>
  <w:style w:type="character" w:styleId="902" w:customStyle="1">
    <w:name w:val="标题 7 字符"/>
    <w:link w:val="824"/>
    <w:uiPriority w:val="9"/>
    <w:qFormat/>
    <w:rPr>
      <w:rFonts w:ascii="Arial" w:hAnsi="Arial" w:eastAsia="Arial" w:cs="Arial"/>
      <w:b/>
      <w:bCs/>
      <w:i/>
      <w:iCs/>
      <w:sz w:val="22"/>
      <w:szCs w:val="22"/>
    </w:rPr>
  </w:style>
  <w:style w:type="character" w:styleId="903" w:customStyle="1">
    <w:name w:val="标题 8 字符"/>
    <w:link w:val="825"/>
    <w:uiPriority w:val="9"/>
    <w:qFormat/>
    <w:rPr>
      <w:rFonts w:ascii="Arial" w:hAnsi="Arial" w:eastAsia="Arial" w:cs="Arial"/>
      <w:i/>
      <w:iCs/>
      <w:sz w:val="22"/>
      <w:szCs w:val="22"/>
    </w:rPr>
  </w:style>
  <w:style w:type="character" w:styleId="904" w:customStyle="1">
    <w:name w:val="标题 9 字符"/>
    <w:link w:val="826"/>
    <w:uiPriority w:val="9"/>
    <w:qFormat/>
    <w:rPr>
      <w:rFonts w:ascii="Arial" w:hAnsi="Arial" w:eastAsia="Arial" w:cs="Arial"/>
      <w:i/>
      <w:iCs/>
      <w:sz w:val="21"/>
      <w:szCs w:val="21"/>
    </w:rPr>
  </w:style>
  <w:style w:type="paragraph" w:styleId="905">
    <w:name w:val="List Paragraph"/>
    <w:basedOn w:val="817"/>
    <w:uiPriority w:val="34"/>
    <w:qFormat/>
    <w:pPr>
      <w:contextualSpacing/>
      <w:ind w:left="720"/>
    </w:pPr>
  </w:style>
  <w:style w:type="paragraph" w:styleId="906">
    <w:name w:val="No Spacing"/>
    <w:uiPriority w:val="1"/>
    <w:qFormat/>
    <w:rPr>
      <w:rFonts w:hint="default" w:ascii="Times New Roman" w:hAnsi="Times New Roman" w:eastAsia="宋体" w:cs="Times New Roman"/>
      <w:lang w:val="en-US" w:eastAsia="zh-CN" w:bidi="ar-SA"/>
    </w:rPr>
  </w:style>
  <w:style w:type="character" w:styleId="907" w:customStyle="1">
    <w:name w:val="标题 字符"/>
    <w:link w:val="852"/>
    <w:uiPriority w:val="10"/>
    <w:qFormat/>
    <w:rPr>
      <w:sz w:val="48"/>
      <w:szCs w:val="48"/>
    </w:rPr>
  </w:style>
  <w:style w:type="character" w:styleId="908" w:customStyle="1">
    <w:name w:val="副标题 字符"/>
    <w:link w:val="843"/>
    <w:uiPriority w:val="11"/>
    <w:qFormat/>
    <w:rPr>
      <w:sz w:val="24"/>
      <w:szCs w:val="24"/>
    </w:rPr>
  </w:style>
  <w:style w:type="paragraph" w:styleId="909">
    <w:name w:val="Quote"/>
    <w:basedOn w:val="817"/>
    <w:next w:val="817"/>
    <w:link w:val="910"/>
    <w:uiPriority w:val="29"/>
    <w:qFormat/>
    <w:pPr>
      <w:ind w:left="720" w:right="720"/>
    </w:pPr>
    <w:rPr>
      <w:i/>
    </w:rPr>
  </w:style>
  <w:style w:type="character" w:styleId="910" w:customStyle="1">
    <w:name w:val="引用 字符"/>
    <w:link w:val="909"/>
    <w:uiPriority w:val="29"/>
    <w:qFormat/>
    <w:rPr>
      <w:i/>
    </w:rPr>
  </w:style>
  <w:style w:type="paragraph" w:styleId="911">
    <w:name w:val="Intense Quote"/>
    <w:basedOn w:val="817"/>
    <w:next w:val="817"/>
    <w:link w:val="9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customStyle="1">
    <w:name w:val="明显引用 字符"/>
    <w:link w:val="911"/>
    <w:uiPriority w:val="30"/>
    <w:qFormat/>
    <w:rPr>
      <w:i/>
    </w:rPr>
  </w:style>
  <w:style w:type="character" w:styleId="913" w:customStyle="1">
    <w:name w:val="页眉 字符"/>
    <w:link w:val="840"/>
    <w:uiPriority w:val="99"/>
    <w:qFormat/>
  </w:style>
  <w:style w:type="character" w:styleId="914" w:customStyle="1">
    <w:name w:val="Footer Char"/>
    <w:uiPriority w:val="99"/>
    <w:qFormat/>
  </w:style>
  <w:style w:type="character" w:styleId="915" w:customStyle="1">
    <w:name w:val="页脚 字符"/>
    <w:link w:val="839"/>
    <w:uiPriority w:val="99"/>
    <w:qFormat/>
  </w:style>
  <w:style w:type="table" w:styleId="91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1" w:customStyle="1">
    <w:name w:val="脚注文本 字符"/>
    <w:link w:val="844"/>
    <w:uiPriority w:val="99"/>
    <w:qFormat/>
    <w:rPr>
      <w:sz w:val="18"/>
    </w:rPr>
  </w:style>
  <w:style w:type="character" w:styleId="1042" w:customStyle="1">
    <w:name w:val="尾注文本 字符"/>
    <w:link w:val="838"/>
    <w:uiPriority w:val="99"/>
    <w:qFormat/>
    <w:rPr>
      <w:sz w:val="20"/>
    </w:rPr>
  </w:style>
  <w:style w:type="paragraph" w:styleId="1043" w:customStyle="1">
    <w:name w:val="TOC 标题1"/>
    <w:uiPriority w:val="39"/>
    <w:unhideWhenUsed/>
    <w:qFormat/>
    <w:rPr>
      <w:rFonts w:hint="default" w:ascii="Times New Roman" w:hAnsi="Times New Roman" w:eastAsia="宋体" w:cs="Times New Roman"/>
      <w:lang w:val="en-US" w:eastAsia="zh-CN" w:bidi="ar-SA"/>
    </w:rPr>
  </w:style>
  <w:style w:type="paragraph" w:styleId="1044" w:customStyle="1">
    <w:name w:val="标题 11"/>
    <w:basedOn w:val="817"/>
    <w:next w:val="817"/>
    <w:uiPriority w:val="0"/>
    <w:qFormat/>
    <w:pPr>
      <w:keepNext/>
      <w:outlineLvl w:val="0"/>
    </w:pPr>
    <w:rPr>
      <w:rFonts w:ascii="楷体_GB2312" w:eastAsia="楷体_GB2312"/>
      <w:sz w:val="28"/>
      <w:szCs w:val="20"/>
    </w:rPr>
  </w:style>
  <w:style w:type="paragraph" w:styleId="1045" w:customStyle="1">
    <w:name w:val="标题 21"/>
    <w:basedOn w:val="817"/>
    <w:next w:val="817"/>
    <w:uiPriority w:val="0"/>
    <w:qFormat/>
    <w:pPr>
      <w:jc w:val="center"/>
      <w:keepLines/>
      <w:keepNext/>
      <w:spacing w:before="260" w:after="260" w:line="416" w:lineRule="auto"/>
      <w:outlineLvl w:val="1"/>
    </w:pPr>
    <w:rPr>
      <w:rFonts w:ascii="Arial" w:hAnsi="Arial" w:eastAsia="幼圆"/>
      <w:b/>
      <w:sz w:val="44"/>
      <w:szCs w:val="20"/>
    </w:rPr>
  </w:style>
  <w:style w:type="paragraph" w:styleId="1046" w:customStyle="1">
    <w:name w:val="正文缩进1"/>
    <w:basedOn w:val="817"/>
    <w:next w:val="817"/>
    <w:uiPriority w:val="0"/>
    <w:qFormat/>
    <w:pPr>
      <w:ind w:firstLine="420"/>
    </w:pPr>
    <w:rPr>
      <w:szCs w:val="21"/>
    </w:rPr>
  </w:style>
  <w:style w:type="paragraph" w:styleId="1047" w:customStyle="1">
    <w:name w:val="标题 41"/>
    <w:basedOn w:val="817"/>
    <w:next w:val="817"/>
    <w:uiPriority w:val="0"/>
    <w:qFormat/>
    <w:pPr>
      <w:keepLines/>
      <w:keepNext/>
      <w:spacing w:before="120" w:after="120"/>
      <w:outlineLvl w:val="3"/>
    </w:pPr>
    <w:rPr>
      <w:rFonts w:ascii="Arial" w:hAnsi="Arial" w:eastAsia="黑体"/>
      <w:b/>
      <w:sz w:val="28"/>
    </w:rPr>
  </w:style>
  <w:style w:type="character" w:styleId="1048" w:customStyle="1">
    <w:name w:val="默认段落字体1"/>
    <w:uiPriority w:val="0"/>
    <w:semiHidden/>
    <w:qFormat/>
  </w:style>
  <w:style w:type="table" w:styleId="1049" w:customStyle="1">
    <w:name w:val="普通表格1"/>
    <w:uiPriority w:val="0"/>
    <w:semiHidden/>
    <w:qFormat/>
    <w:tblPr>
      <w:tblCellMar>
        <w:left w:w="0" w:type="dxa"/>
        <w:top w:w="0" w:type="dxa"/>
        <w:right w:w="0" w:type="dxa"/>
        <w:bottom w:w="0" w:type="dxa"/>
      </w:tblCellMar>
    </w:tblPr>
  </w:style>
  <w:style w:type="paragraph" w:styleId="1050" w:customStyle="1">
    <w:name w:val="批注文字1"/>
    <w:basedOn w:val="817"/>
    <w:uiPriority w:val="0"/>
    <w:qFormat/>
    <w:pPr>
      <w:jc w:val="left"/>
    </w:pPr>
  </w:style>
  <w:style w:type="paragraph" w:styleId="1051" w:customStyle="1">
    <w:name w:val="正文文本1"/>
    <w:basedOn w:val="817"/>
    <w:uiPriority w:val="0"/>
    <w:qFormat/>
    <w:rPr>
      <w:rFonts w:ascii="楷体_GB2312" w:hAnsi="Arial" w:eastAsia="楷体_GB2312"/>
      <w:sz w:val="28"/>
      <w:szCs w:val="20"/>
    </w:rPr>
  </w:style>
  <w:style w:type="paragraph" w:styleId="1052" w:customStyle="1">
    <w:name w:val="正文文本缩进1"/>
    <w:basedOn w:val="817"/>
    <w:uiPriority w:val="0"/>
    <w:qFormat/>
    <w:pPr>
      <w:ind w:firstLine="645"/>
    </w:pPr>
    <w:rPr>
      <w:rFonts w:ascii="楷体_GB2312" w:eastAsia="楷体_GB2312"/>
      <w:sz w:val="32"/>
      <w:szCs w:val="20"/>
    </w:rPr>
  </w:style>
  <w:style w:type="paragraph" w:styleId="1053" w:customStyle="1">
    <w:name w:val="纯文本11"/>
    <w:basedOn w:val="817"/>
    <w:uiPriority w:val="0"/>
    <w:qFormat/>
    <w:rPr>
      <w:rFonts w:ascii="宋体" w:hAnsi="Courier New"/>
      <w:szCs w:val="21"/>
      <w:lang w:val="zh-CN"/>
    </w:rPr>
  </w:style>
  <w:style w:type="paragraph" w:styleId="1054" w:customStyle="1">
    <w:name w:val="批注框文本1"/>
    <w:basedOn w:val="817"/>
    <w:link w:val="1055"/>
    <w:uiPriority w:val="0"/>
    <w:qFormat/>
    <w:pPr>
      <w:spacing w:line="240" w:lineRule="auto"/>
    </w:pPr>
    <w:rPr>
      <w:sz w:val="18"/>
      <w:szCs w:val="18"/>
    </w:rPr>
  </w:style>
  <w:style w:type="character" w:styleId="1055" w:customStyle="1">
    <w:name w:val="批注框文本 Char"/>
    <w:link w:val="1054"/>
    <w:uiPriority w:val="0"/>
    <w:qFormat/>
    <w:rPr>
      <w:sz w:val="18"/>
      <w:szCs w:val="18"/>
    </w:rPr>
  </w:style>
  <w:style w:type="paragraph" w:styleId="1056" w:customStyle="1">
    <w:name w:val="页脚1"/>
    <w:basedOn w:val="817"/>
    <w:uiPriority w:val="0"/>
    <w:qFormat/>
    <w:pPr>
      <w:jc w:val="left"/>
      <w:tabs>
        <w:tab w:val="center" w:pos="4153" w:leader="none"/>
        <w:tab w:val="right" w:pos="8306" w:leader="none"/>
      </w:tabs>
    </w:pPr>
    <w:rPr>
      <w:sz w:val="18"/>
      <w:szCs w:val="20"/>
    </w:rPr>
  </w:style>
  <w:style w:type="paragraph" w:styleId="1057" w:customStyle="1">
    <w:name w:val="页眉1"/>
    <w:basedOn w:val="817"/>
    <w:uiPriority w:val="0"/>
    <w:qFormat/>
    <w:pPr>
      <w:jc w:val="center"/>
      <w:tabs>
        <w:tab w:val="center" w:pos="4153" w:leader="none"/>
        <w:tab w:val="right" w:pos="8306" w:leader="none"/>
      </w:tabs>
      <w:pBdr>
        <w:bottom w:val="single" w:color="000000" w:sz="6" w:space="1"/>
      </w:pBdr>
    </w:pPr>
    <w:rPr>
      <w:sz w:val="18"/>
      <w:szCs w:val="18"/>
    </w:rPr>
  </w:style>
  <w:style w:type="paragraph" w:styleId="1058" w:customStyle="1">
    <w:name w:val="副标题1"/>
    <w:basedOn w:val="817"/>
    <w:next w:val="817"/>
    <w:uiPriority w:val="0"/>
    <w:qFormat/>
    <w:pPr>
      <w:jc w:val="center"/>
      <w:spacing w:before="240" w:after="60" w:line="312" w:lineRule="auto"/>
      <w:outlineLvl w:val="1"/>
    </w:pPr>
    <w:rPr>
      <w:rFonts w:ascii="Cambria" w:hAnsi="Cambria"/>
      <w:b/>
      <w:sz w:val="32"/>
    </w:rPr>
  </w:style>
  <w:style w:type="paragraph" w:styleId="1059" w:customStyle="1">
    <w:name w:val="普通(网站)1"/>
    <w:basedOn w:val="817"/>
    <w:uiPriority w:val="0"/>
    <w:qFormat/>
    <w:pPr>
      <w:jc w:val="left"/>
      <w:spacing w:before="100" w:beforeAutospacing="1" w:after="100" w:afterAutospacing="1"/>
      <w:widowControl/>
    </w:pPr>
    <w:rPr>
      <w:rFonts w:ascii="宋体" w:hAnsi="宋体" w:cs="宋体"/>
      <w:sz w:val="24"/>
    </w:rPr>
  </w:style>
  <w:style w:type="paragraph" w:styleId="1060" w:customStyle="1">
    <w:name w:val="正文首行缩进1"/>
    <w:basedOn w:val="1051"/>
    <w:uiPriority w:val="0"/>
    <w:qFormat/>
    <w:pPr>
      <w:ind w:firstLine="420"/>
      <w:spacing w:after="120"/>
    </w:pPr>
    <w:rPr>
      <w:szCs w:val="24"/>
    </w:rPr>
  </w:style>
  <w:style w:type="paragraph" w:styleId="1061" w:customStyle="1">
    <w:name w:val="正文首行缩进 21"/>
    <w:basedOn w:val="1052"/>
    <w:uiPriority w:val="0"/>
    <w:semiHidden/>
    <w:qFormat/>
    <w:pPr>
      <w:ind w:firstLine="420"/>
    </w:pPr>
  </w:style>
  <w:style w:type="table" w:styleId="1062" w:customStyle="1">
    <w:name w:val="网格型1"/>
    <w:basedOn w:val="1049"/>
    <w:uiPriority w:val="0"/>
    <w:qFormat/>
    <w:pPr>
      <w:jc w:val="both"/>
      <w:widowControl w:val="off"/>
    </w:pPr>
    <w:tblPr/>
  </w:style>
  <w:style w:type="character" w:styleId="1063" w:customStyle="1">
    <w:name w:val="页码1"/>
    <w:uiPriority w:val="0"/>
    <w:qFormat/>
    <w:rPr>
      <w:rFonts w:ascii="Times New Roman" w:hAnsi="Times New Roman" w:eastAsia="宋体"/>
    </w:rPr>
  </w:style>
  <w:style w:type="paragraph" w:styleId="1064" w:customStyle="1">
    <w:name w:val="段"/>
    <w:next w:val="1065"/>
    <w:uiPriority w:val="0"/>
    <w:qFormat/>
    <w:pPr>
      <w:ind w:firstLine="200"/>
      <w:jc w:val="both"/>
    </w:pPr>
    <w:rPr>
      <w:rFonts w:hint="default" w:ascii="宋体" w:hAnsi="Times New Roman" w:eastAsia="宋体" w:cs="Times New Roman"/>
      <w:sz w:val="21"/>
      <w:lang w:val="en-US" w:eastAsia="zh-CN" w:bidi="ar-SA"/>
    </w:rPr>
  </w:style>
  <w:style w:type="paragraph" w:styleId="1065" w:customStyle="1">
    <w:name w:val="正文11"/>
    <w:next w:val="10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6" w:customStyle="1">
    <w:name w:val="Default"/>
    <w:basedOn w:val="817"/>
    <w:uiPriority w:val="0"/>
    <w:qFormat/>
    <w:pPr>
      <w:jc w:val="left"/>
    </w:pPr>
    <w:rPr>
      <w:rFonts w:ascii="仿宋" w:hAnsi="仿宋" w:eastAsia="仿宋" w:cs="宋体"/>
      <w:color w:val="000000"/>
      <w:sz w:val="24"/>
    </w:rPr>
  </w:style>
  <w:style w:type="paragraph" w:styleId="1067" w:customStyle="1">
    <w:name w:val="TOC 71"/>
    <w:basedOn w:val="817"/>
    <w:next w:val="817"/>
    <w:uiPriority w:val="0"/>
    <w:qFormat/>
    <w:pPr>
      <w:ind w:left="2550"/>
      <w:spacing w:before="100" w:beforeAutospacing="1" w:after="100" w:afterAutospacing="1"/>
      <w:widowControl/>
    </w:pPr>
    <w:rPr>
      <w:szCs w:val="21"/>
    </w:rPr>
  </w:style>
  <w:style w:type="paragraph" w:styleId="1068" w:customStyle="1">
    <w:name w:val="普通正文"/>
    <w:basedOn w:val="817"/>
    <w:uiPriority w:val="0"/>
    <w:qFormat/>
    <w:pPr>
      <w:ind w:firstLine="480"/>
      <w:jc w:val="left"/>
      <w:spacing w:before="120" w:after="120"/>
    </w:pPr>
    <w:rPr>
      <w:rFonts w:ascii="Arial" w:hAnsi="Arial"/>
      <w:sz w:val="24"/>
    </w:rPr>
  </w:style>
  <w:style w:type="paragraph" w:styleId="1069" w:customStyle="1">
    <w:name w:val="WPSOffice手动目录 1"/>
    <w:uiPriority w:val="0"/>
    <w:qFormat/>
    <w:rPr>
      <w:rFonts w:hint="default" w:ascii="Times New Roman" w:hAnsi="Times New Roman" w:eastAsia="宋体" w:cs="Times New Roman"/>
      <w:lang w:val="en-US" w:eastAsia="zh-CN" w:bidi="ar-SA"/>
    </w:rPr>
  </w:style>
  <w:style w:type="paragraph" w:styleId="1070" w:customStyle="1">
    <w:name w:val="List Paragraph1"/>
    <w:basedOn w:val="817"/>
    <w:uiPriority w:val="0"/>
    <w:qFormat/>
    <w:pPr>
      <w:ind w:firstLine="420"/>
    </w:pPr>
    <w:rPr>
      <w:szCs w:val="22"/>
    </w:rPr>
  </w:style>
  <w:style w:type="paragraph" w:styleId="1071" w:customStyle="1">
    <w:name w:val="_Style 21"/>
    <w:basedOn w:val="817"/>
    <w:next w:val="1070"/>
    <w:uiPriority w:val="0"/>
    <w:qFormat/>
    <w:pPr>
      <w:ind w:left="890" w:firstLine="420"/>
      <w:jc w:val="left"/>
    </w:pPr>
    <w:rPr>
      <w:rFonts w:ascii="Calibri" w:hAnsi="Calibri"/>
      <w:szCs w:val="22"/>
    </w:rPr>
  </w:style>
  <w:style w:type="paragraph" w:styleId="1072" w:customStyle="1">
    <w:name w:val="列出段落1"/>
    <w:basedOn w:val="817"/>
    <w:uiPriority w:val="0"/>
    <w:qFormat/>
    <w:pPr>
      <w:ind w:firstLine="420"/>
    </w:pPr>
    <w:rPr>
      <w:rFonts w:ascii="Calibri" w:hAnsi="Calibri"/>
      <w:szCs w:val="22"/>
    </w:rPr>
  </w:style>
  <w:style w:type="paragraph" w:styleId="1073" w:customStyle="1">
    <w:name w:val="正文空2格  1."/>
    <w:basedOn w:val="817"/>
    <w:uiPriority w:val="0"/>
    <w:qFormat/>
    <w:pPr>
      <w:ind w:firstLine="480"/>
    </w:pPr>
    <w:rPr>
      <w:rFonts w:cs="宋体"/>
      <w:sz w:val="28"/>
      <w:szCs w:val="20"/>
    </w:rPr>
  </w:style>
  <w:style w:type="paragraph" w:styleId="1074" w:customStyle="1">
    <w:name w:val="_Style 1"/>
    <w:uiPriority w:val="0"/>
    <w:qFormat/>
    <w:rPr>
      <w:rFonts w:hint="default" w:ascii="Tahoma" w:hAnsi="Tahoma" w:eastAsia="宋体" w:cs="Times New Roman"/>
      <w:sz w:val="22"/>
      <w:szCs w:val="22"/>
      <w:lang w:val="en-US" w:eastAsia="zh-CN" w:bidi="ar-SA"/>
    </w:rPr>
  </w:style>
  <w:style w:type="paragraph" w:styleId="1075" w:customStyle="1">
    <w:name w:val="注释标题1"/>
    <w:basedOn w:val="817"/>
    <w:next w:val="817"/>
    <w:uiPriority w:val="0"/>
    <w:qFormat/>
    <w:rPr>
      <w:rFonts w:ascii="Verdana" w:hAnsi="Verdana"/>
      <w:szCs w:val="20"/>
    </w:rPr>
  </w:style>
  <w:style w:type="paragraph" w:styleId="1076" w:customStyle="1">
    <w:name w:val="纯文本1"/>
    <w:basedOn w:val="817"/>
    <w:uiPriority w:val="0"/>
    <w:qFormat/>
    <w:rPr>
      <w:rFonts w:ascii="宋体" w:hAnsi="Courier New" w:eastAsia="楷体_GB2312" w:cs="宋体"/>
      <w:sz w:val="28"/>
      <w:szCs w:val="21"/>
    </w:rPr>
  </w:style>
  <w:style w:type="paragraph" w:styleId="1077"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1078" w:customStyle="1">
    <w:name w:val="目录 11"/>
    <w:basedOn w:val="1065"/>
    <w:next w:val="1065"/>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1079" w:customStyle="1">
    <w:name w:val="Char"/>
    <w:basedOn w:val="817"/>
    <w:uiPriority w:val="0"/>
    <w:qFormat/>
    <w:pPr>
      <w:tabs>
        <w:tab w:val="left" w:pos="360" w:leader="none"/>
      </w:tabs>
    </w:pPr>
    <w:rPr>
      <w:sz w:val="24"/>
    </w:rPr>
  </w:style>
  <w:style w:type="character" w:styleId="1080" w:customStyle="1">
    <w:name w:val="font21"/>
    <w:uiPriority w:val="0"/>
    <w:qFormat/>
    <w:rPr>
      <w:rFonts w:hint="eastAsia" w:ascii="宋体" w:hAnsi="宋体" w:eastAsia="宋体" w:cs="宋体"/>
      <w:color w:val="ff0000"/>
      <w:sz w:val="22"/>
      <w:szCs w:val="22"/>
      <w:u w:val="none"/>
    </w:rPr>
  </w:style>
  <w:style w:type="paragraph" w:styleId="1081" w:customStyle="1">
    <w:name w:val="列出段落"/>
    <w:basedOn w:val="817"/>
    <w:uiPriority w:val="34"/>
    <w:qFormat/>
    <w:pPr>
      <w:ind w:firstLine="420"/>
    </w:pPr>
  </w:style>
  <w:style w:type="table" w:styleId="1082" w:customStyle="1">
    <w:name w:val="Table Normal"/>
    <w:uiPriority w:val="0"/>
    <w:unhideWhenUsed/>
    <w:qFormat/>
    <w:tblPr>
      <w:tblCellMar>
        <w:left w:w="0" w:type="dxa"/>
        <w:top w:w="0" w:type="dxa"/>
        <w:right w:w="0" w:type="dxa"/>
        <w:bottom w:w="0" w:type="dxa"/>
      </w:tblCellMar>
    </w:tblPr>
  </w:style>
  <w:style w:type="paragraph" w:styleId="1083" w:customStyle="1">
    <w:name w:val="Table Text"/>
    <w:basedOn w:val="817"/>
    <w:uiPriority w:val="0"/>
    <w:semiHidden/>
    <w:qFormat/>
    <w:rPr>
      <w:rFonts w:ascii="Arial" w:hAnsi="Arial" w:eastAsia="Arial" w:cs="Arial"/>
      <w:szCs w:val="21"/>
      <w:lang w:eastAsia="en-US"/>
    </w:rPr>
  </w:style>
  <w:style w:type="paragraph" w:styleId="1084" w:customStyle="1">
    <w:name w:val="DAS正文"/>
    <w:basedOn w:val="817"/>
    <w:uiPriority w:val="0"/>
    <w:qFormat/>
    <w:pPr>
      <w:ind w:right="181" w:firstLine="480"/>
    </w:pPr>
    <w:rPr>
      <w:rFonts w:ascii="Verdana" w:hAnsi="Verdana"/>
    </w:rPr>
  </w:style>
  <w:style w:type="character" w:styleId="1085" w:customStyle="1">
    <w:name w:val="apple-style-span"/>
    <w:basedOn w:val="827"/>
    <w:uiPriority w:val="0"/>
    <w:qFormat/>
  </w:style>
  <w:style w:type="character" w:styleId="1086" w:customStyle="1">
    <w:name w:val="font41"/>
    <w:basedOn w:val="827"/>
    <w:uiPriority w:val="0"/>
    <w:qFormat/>
    <w:rPr>
      <w:rFonts w:hint="default" w:ascii="方正黑体_GBK" w:hAnsi="方正黑体_GBK" w:eastAsia="方正黑体_GBK" w:cs="方正黑体_GBK"/>
      <w:color w:val="000000"/>
      <w:sz w:val="24"/>
      <w:szCs w:val="24"/>
      <w:u w:val="none"/>
    </w:rPr>
  </w:style>
  <w:style w:type="character" w:styleId="1087" w:customStyle="1">
    <w:name w:val="font71"/>
    <w:basedOn w:val="827"/>
    <w:uiPriority w:val="0"/>
    <w:qFormat/>
    <w:rPr>
      <w:rFonts w:hint="default" w:ascii="方正黑体_GBK" w:hAnsi="方正黑体_GBK" w:eastAsia="方正黑体_GBK" w:cs="方正黑体_GBK"/>
      <w:color w:val="000000"/>
      <w:sz w:val="22"/>
      <w:szCs w:val="22"/>
      <w:u w:val="none"/>
    </w:rPr>
  </w:style>
  <w:style w:type="character" w:styleId="1088" w:customStyle="1">
    <w:name w:val="font51"/>
    <w:basedOn w:val="827"/>
    <w:uiPriority w:val="0"/>
    <w:qFormat/>
    <w:rPr>
      <w:rFonts w:hint="eastAsia" w:ascii="宋体" w:hAnsi="宋体" w:eastAsia="宋体" w:cs="宋体"/>
      <w:color w:val="000000"/>
      <w:sz w:val="24"/>
      <w:szCs w:val="24"/>
      <w:u w:val="none"/>
    </w:rPr>
  </w:style>
  <w:style w:type="character" w:styleId="1089" w:customStyle="1">
    <w:name w:val="font81"/>
    <w:basedOn w:val="827"/>
    <w:uiPriority w:val="0"/>
    <w:qFormat/>
    <w:rPr>
      <w:rFonts w:hint="eastAsia" w:ascii="宋体" w:hAnsi="宋体" w:eastAsia="宋体" w:cs="宋体"/>
      <w:color w:val="000000"/>
      <w:sz w:val="20"/>
      <w:szCs w:val="20"/>
      <w:u w:val="none"/>
    </w:rPr>
  </w:style>
  <w:style w:type="character" w:styleId="1090" w:customStyle="1">
    <w:name w:val="font61"/>
    <w:basedOn w:val="827"/>
    <w:uiPriority w:val="0"/>
    <w:qFormat/>
    <w:rPr>
      <w:rFonts w:hint="eastAsia" w:ascii="宋体" w:hAnsi="宋体" w:eastAsia="宋体" w:cs="宋体"/>
      <w:color w:val="000000"/>
      <w:sz w:val="20"/>
      <w:szCs w:val="20"/>
      <w:u w:val="none"/>
    </w:rPr>
  </w:style>
  <w:style w:type="character" w:styleId="1091" w:customStyle="1">
    <w:name w:val="font01"/>
    <w:basedOn w:val="827"/>
    <w:uiPriority w:val="0"/>
    <w:qFormat/>
    <w:rPr>
      <w:rFonts w:hint="eastAsia" w:ascii="宋体" w:hAnsi="宋体" w:eastAsia="宋体" w:cs="宋体"/>
      <w:color w:val="000000"/>
      <w:sz w:val="22"/>
      <w:szCs w:val="22"/>
      <w:u w:val="none"/>
    </w:rPr>
  </w:style>
  <w:style w:type="paragraph" w:styleId="1092" w:customStyle="1">
    <w:name w:val="文档结构图1"/>
    <w:basedOn w:val="817"/>
    <w:uiPriority w:val="0"/>
    <w:qFormat/>
    <w:pPr>
      <w:shd w:val="clear" w:color="auto" w:fill="000080"/>
    </w:pPr>
  </w:style>
  <w:style w:type="character" w:styleId="1093" w:customStyle="1">
    <w:name w:val="正文缩进 字符"/>
    <w:link w:val="830"/>
    <w:uiPriority w:val="0"/>
    <w:qFormat/>
    <w:rPr>
      <w:sz w:val="21"/>
    </w:rPr>
  </w:style>
  <w:style w:type="character" w:styleId="1094" w:customStyle="1">
    <w:name w:val="HTML 预设格式 字符"/>
    <w:basedOn w:val="827"/>
    <w:link w:val="850"/>
    <w:uiPriority w:val="99"/>
    <w:semiHidden/>
    <w:qFormat/>
    <w:rPr>
      <w:rFonts w:ascii="Courier New" w:hAnsi="Courier New" w:cs="Courier New"/>
    </w:rPr>
  </w:style>
  <w:style w:type="paragraph" w:styleId="1095" w:customStyle="1">
    <w:name w:val="p16"/>
    <w:basedOn w:val="817"/>
    <w:uiPriority w:val="0"/>
    <w:qFormat/>
    <w:pPr>
      <w:jc w:val="left"/>
      <w:widowControl/>
    </w:pPr>
    <w:rPr>
      <w:sz w:val="24"/>
      <w:szCs w:val="24"/>
    </w:rPr>
  </w:style>
  <w:style w:type="paragraph" w:styleId="1096" w:customStyle="1">
    <w:name w:val="null3"/>
    <w:uiPriority w:val="0"/>
    <w:qFormat/>
    <w:rPr>
      <w:rFonts w:hint="default" w:asciiTheme="minorHAnsi" w:hAnsiTheme="minorHAnsi" w:eastAsiaTheme="minorEastAsia" w:cstheme="minorBidi"/>
      <w:lang w:val="en-US" w:eastAsia="zh-Hans" w:bidi="ar-SA"/>
    </w:rPr>
  </w:style>
  <w:style w:type="character" w:styleId="1097" w:customStyle="1">
    <w:name w:val="强调1"/>
    <w:basedOn w:val="1098"/>
    <w:link w:val="817"/>
    <w:uiPriority w:val="20"/>
    <w:qFormat/>
    <w:rPr>
      <w:rFonts w:ascii="Times New Roman" w:hAnsi="Times New Roman" w:eastAsia="宋体" w:cs="Times New Roman"/>
      <w:sz w:val="21"/>
      <w:szCs w:val="24"/>
      <w:lang w:val="en-US" w:eastAsia="zh-CN" w:bidi="ar-SA"/>
    </w:rPr>
  </w:style>
  <w:style w:type="character" w:styleId="1098" w:customStyle="1">
    <w:name w:val="默认段落字体11"/>
    <w:link w:val="817"/>
    <w:uiPriority w:val="0"/>
    <w:semiHidden/>
    <w:qFormat/>
  </w:style>
  <w:style w:type="table" w:styleId="1099" w:customStyle="1">
    <w:name w:val="table"/>
    <w:basedOn w:val="828"/>
    <w:uiPriority w:val="0"/>
    <w:qFormat/>
    <w:tblPr/>
  </w:style>
  <w:style w:type="paragraph" w:styleId="1100" w:customStyle="1">
    <w:name w:val="列表段落2"/>
    <w:basedOn w:val="817"/>
    <w:uiPriority w:val="34"/>
    <w:qFormat/>
    <w:pPr>
      <w:ind w:firstLine="420"/>
    </w:pPr>
    <w:rPr>
      <w:rFonts w:ascii="Calibri" w:hAnsi="Calibri"/>
      <w:szCs w:val="22"/>
    </w:rPr>
  </w:style>
  <w:style w:type="paragraph" w:styleId="1101" w:customStyle="1">
    <w:name w:val="二级目录"/>
    <w:next w:val="817"/>
    <w:uiPriority w:val="0"/>
    <w:qFormat/>
    <w:pPr>
      <w:ind w:left="567" w:hanging="567"/>
      <w:tabs>
        <w:tab w:val="left" w:pos="720" w:leader="none"/>
      </w:tabs>
      <w:outlineLvl w:val="1"/>
    </w:pPr>
    <w:rPr>
      <w:rFonts w:hint="default" w:ascii="Times New Roman" w:hAnsi="Times New Roman" w:eastAsia="Times New Roman" w:cs="Times New Roman"/>
      <w:b/>
      <w:sz w:val="30"/>
      <w:szCs w:val="28"/>
      <w:lang w:val="en-US" w:eastAsia="zh-CN" w:bidi="ar-SA"/>
    </w:rPr>
  </w:style>
  <w:style w:type="paragraph" w:styleId="1102" w:customStyle="1">
    <w:name w:val="表格文字"/>
    <w:basedOn w:val="817"/>
    <w:next w:val="833"/>
    <w:uiPriority w:val="0"/>
    <w:qFormat/>
    <w:pPr>
      <w:jc w:val="left"/>
      <w:spacing w:line="420" w:lineRule="atLeast"/>
    </w:pPr>
    <w:rPr>
      <w:rFonts w:ascii="Times New Roman" w:hAnsi="Times New Roman"/>
      <w:szCs w:val="20"/>
    </w:rPr>
  </w:style>
  <w:style w:type="numbering" w:styleId="11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819d2dd2-3659-45bf-a795-3b4b7d61c944</errorID>
      <errorWord>（</errorWord>
      <group>L1_Punc</group>
      <groupName>标点问题</groupName>
      <ability>L2_Punc_CN</ability>
      <abilityName>标点符号问题</abilityName>
      <candidateList/>
      <explain>同一形式括号套用。</explain>
      <paraID>79037150</paraID>
      <start>37</start>
      <end>38</end>
      <status>unmodified</status>
      <modifiedWord/>
      <trackRevisions>false</trackRevisions>
    </reviewItem>
    <reviewItem>
      <errorID>a778462c-f9a3-4719-ae52-fbe88b13db87</errorID>
      <errorWord>）</errorWord>
      <group>L1_Punc</group>
      <groupName>标点问题</groupName>
      <ability>L2_Punc_CN</ability>
      <abilityName>标点符号问题</abilityName>
      <candidateList/>
      <explain>同一形式括号套用。</explain>
      <paraID>79037150</paraID>
      <start>44</start>
      <end>45</end>
      <status>unmodified</status>
      <modifiedWord/>
      <trackRevisions>false</trackRevisions>
    </reviewItem>
    <reviewItem>
      <errorID>bbbf2728-43ff-4bff-ac6b-d9fcbd6d8863</errorID>
      <errorWord>（</errorWord>
      <group>L1_Punc</group>
      <groupName>标点问题</groupName>
      <ability>L2_Punc_CN</ability>
      <abilityName>标点符号问题</abilityName>
      <candidateList/>
      <explain>同一形式括号套用。</explain>
      <paraID>79037150</paraID>
      <start>52</start>
      <end>53</end>
      <status>unmodified</status>
      <modifiedWord/>
      <trackRevisions>false</trackRevisions>
    </reviewItem>
    <reviewItem>
      <errorID>19f76bf5-4964-4741-bee6-9cb25ad0962c</errorID>
      <errorWord>）</errorWord>
      <group>L1_Punc</group>
      <groupName>标点问题</groupName>
      <ability>L2_Punc_CN</ability>
      <abilityName>标点符号问题</abilityName>
      <candidateList/>
      <explain>同一形式括号套用。</explain>
      <paraID>79037150</paraID>
      <start>63</start>
      <end>64</end>
      <status>unmodified</status>
      <modifiedWord/>
      <trackRevisions>false</trackRevisions>
    </reviewItem>
    <reviewItem>
      <errorID>db99a22a-bd8c-457f-bf13-ec154188515d</errorID>
      <errorWord>（</errorWord>
      <group>L1_Punc</group>
      <groupName>标点问题</groupName>
      <ability>L2_Punc_CN</ability>
      <abilityName>标点符号问题</abilityName>
      <candidateList/>
      <explain>同一形式括号套用。</explain>
      <paraID>642D21EE</paraID>
      <start>37</start>
      <end>38</end>
      <status>unmodified</status>
      <modifiedWord/>
      <trackRevisions>false</trackRevisions>
    </reviewItem>
    <reviewItem>
      <errorID>d4761ee4-5735-4b83-820e-53baad97ceee</errorID>
      <errorWord>）</errorWord>
      <group>L1_Punc</group>
      <groupName>标点问题</groupName>
      <ability>L2_Punc_CN</ability>
      <abilityName>标点符号问题</abilityName>
      <candidateList/>
      <explain>同一形式括号套用。</explain>
      <paraID>642D21EE</paraID>
      <start>44</start>
      <end>45</end>
      <status>unmodified</status>
      <modifiedWord/>
      <trackRevisions>false</trackRevisions>
    </reviewItem>
    <reviewItem>
      <errorID>81a6ee3b-ed89-43f0-b1e5-c1bb47770d37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5F00A7F</paraID>
      <start>44</start>
      <end>45</end>
      <status>unmodified</status>
      <modifiedWord/>
      <trackRevisions>false</trackRevisions>
    </reviewItem>
    <reviewItem>
      <errorID>8d978db8-da91-442f-932f-5f2a65dbcce7</errorID>
      <errorWord>》</errorWord>
      <group>L1_Word</group>
      <groupName>字词问题</groupName>
      <ability>L2_Typo</ability>
      <abilityName>字词错误</abilityName>
      <candidateList>
        <item>》和</item>
      </candidateList>
      <explain/>
      <paraID>1FFD14D6</paraID>
      <start>21</start>
      <end>22</end>
      <status>unmodified</status>
      <modifiedWord/>
      <trackRevisions>false</trackRevisions>
    </reviewItem>
    <reviewItem>
      <errorID>a8de2d29-e24d-4d94-994e-1f69d7941ae1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5B8AC6D6</paraID>
      <start>50</start>
      <end>51</end>
      <status>unmodified</status>
      <modifiedWord/>
      <trackRevisions>false</trackRevisions>
    </reviewItem>
    <reviewItem>
      <errorID>a1594574-c26d-47d8-a499-494a29ef75ab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462C39F0</paraID>
      <start>50</start>
      <end>51</end>
      <status>unmodified</status>
      <modifiedWord/>
      <trackRevisions>false</trackRevisions>
    </reviewItem>
    <reviewItem>
      <errorID>ff69a107-ea1e-40dc-b84a-2c4a3decd7b6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491615EE</paraID>
      <start>35</start>
      <end>36</end>
      <status>unmodified</status>
      <modifiedWord/>
      <trackRevisions>false</trackRevisions>
    </reviewItem>
    <reviewItem>
      <errorID>b2b85c1f-4732-43f7-b5d0-10524b4822db</errorID>
      <errorWord>；</errorWord>
      <group>L1_Word</group>
      <groupName>字词问题</groupName>
      <ability>L2_Typo</ability>
      <abilityName>字词错误</abilityName>
      <candidateList>
        <item>；在</item>
      </candidateList>
      <explain/>
      <paraID>46934D2D</paraID>
      <start>54</start>
      <end>55</end>
      <status>unmodified</status>
      <modifiedWord/>
      <trackRevisions>false</trackRevisions>
    </reviewItem>
    <reviewItem>
      <errorID>0c02d516-8e8a-4221-9826-048a348b63f7</errorID>
      <errorWord>(</errorWord>
      <group>L1_Format</group>
      <groupName>格式问题</groupName>
      <ability>L2_HalfPunc_CN</ability>
      <abilityName>全半角问题</abilityName>
      <candidateList>
        <item>（</item>
      </candidateList>
      <explain>文本全半角错误。</explain>
      <paraID>7EAD5230</paraID>
      <start>10</start>
      <end>11</end>
      <status>unmodified</status>
      <modifiedWord/>
      <trackRevisions>false</trackRevisions>
    </reviewItem>
    <reviewItem>
      <errorID>6f18811d-f1a4-41bd-933a-7f985a8d69d1</errorID>
      <errorWord>(</errorWord>
      <group>L1_Format</group>
      <groupName>格式问题</groupName>
      <ability>L2_HalfPunc_CN</ability>
      <abilityName>全半角问题</abilityName>
      <candidateList>
        <item>（</item>
      </candidateList>
      <explain>文本全半角错误。</explain>
      <paraID>6A5E94AD</paraID>
      <start>41</start>
      <end>42</end>
      <status>unmodified</status>
      <modifiedWord/>
      <trackRevisions>false</trackRevisions>
    </reviewItem>
    <reviewItem>
      <errorID>709d5423-5ec4-4ee9-a0d5-514a21fbca34</errorID>
      <errorWord>)</errorWord>
      <group>L1_Format</group>
      <groupName>格式问题</groupName>
      <ability>L2_HalfPunc_CN</ability>
      <abilityName>全半角问题</abilityName>
      <candidateList>
        <item>）</item>
      </candidateList>
      <explain>文本全半角错误。</explain>
      <paraID>6A5E94AD</paraID>
      <start>55</start>
      <end>56</end>
      <status>unmodified</status>
      <modifiedWord/>
      <trackRevisions>false</trackRevisions>
    </reviewItem>
    <reviewItem>
      <errorID>12e604ac-520c-49b1-9062-8435d2c54cd6</errorID>
      <errorWord>,</errorWord>
      <group>L1_Format</group>
      <groupName>格式问题</groupName>
      <ability>L2_HalfPunc_CN</ability>
      <abilityName>全半角问题</abilityName>
      <candidateList>
        <item>，</item>
      </candidateList>
      <explain>文本全半角错误。</explain>
      <paraID>6A5E94AD</paraID>
      <start>170</start>
      <end>171</end>
      <status>unmodified</status>
      <modifiedWord/>
      <trackRevisions>false</trackRevisions>
    </reviewItem>
    <reviewItem>
      <errorID>33aad261-ee7f-4860-8e3f-58a798b750ea</errorID>
      <errorWord>链接</errorWord>
      <group>L1_Word</group>
      <groupName>字词问题</groupName>
      <ability>L2_Typo</ability>
      <abilityName>字词错误</abilityName>
      <candidateList>
        <item>连接</item>
      </candidateList>
      <explain/>
      <paraID>6A5E94AD</paraID>
      <start>255</start>
      <end>257</end>
      <status>unmodified</status>
      <modifiedWord/>
      <trackRevisions>false</trackRevisions>
    </reviewItem>
    <reviewItem>
      <errorID>88926545-9001-4ac7-89d7-dbf9c2b06247</errorID>
      <errorWord>Mpa</errorWord>
      <group>L1_English</group>
      <groupName>英文问题</groupName>
      <ability>L2_Case</ability>
      <abilityName>大小写问题</abilityName>
      <candidateList>
        <item>MPa</item>
      </candidateList>
      <explain>疑似单词大小写错误，建议将Mpa修改为MPa</explain>
      <paraID>6A5E94AD</paraID>
      <start>356</start>
      <end>359</end>
      <status>unmodified</status>
      <modifiedWord/>
      <trackRevisions>false</trackRevisions>
    </reviewItem>
    <reviewItem>
      <errorID>7dd87751-15c1-4bc5-99ba-8da766bba011</errorID>
      <errorWord>、而</errorWord>
      <group>L1_Punc</group>
      <groupName>标点问题</groupName>
      <ability>L2_Punc_CN</ability>
      <abilityName>标点符号问题</abilityName>
      <candidateList>
        <item>，而</item>
      </candidateList>
      <explain>连接词前后不宜使用顿号，建议使用逗号。</explain>
      <paraID>6A5E94AD</paraID>
      <start>443</start>
      <end>445</end>
      <status>unmodified</status>
      <modifiedWord/>
      <trackRevisions>false</trackRevisions>
    </reviewItem>
    <reviewItem>
      <errorID>122f4830-4340-41d7-a2bb-c7468f9f80e9</errorID>
      <errorWord>刻划</errorWord>
      <group>L1_Word</group>
      <groupName>字词问题</groupName>
      <ability>L2_Variant</ability>
      <abilityName>异形词</abilityName>
      <candidateList>
        <item>刻画</item>
      </candidateList>
      <explain>词汇[刻划]的规范词形写作[刻画]。</explain>
      <paraID>6A5E94AD</paraID>
      <start>637</start>
      <end>639</end>
      <status>unmodified</status>
      <modifiedWord/>
      <trackRevisions>false</trackRevisions>
    </reviewItem>
    <reviewItem>
      <errorID>49f746d9-3618-417c-9915-ac4496f015e6</errorID>
      <errorWord>联通</errorWord>
      <group>L1_Word</group>
      <groupName>字词问题</groupName>
      <ability>L2_Typo</ability>
      <abilityName>字词错误</abilityName>
      <candidateList>
        <item>连通</item>
      </candidateList>
      <explain>存在发音相同字词的误用。</explain>
      <paraID>6A5E94AD</paraID>
      <start>943</start>
      <end>945</end>
      <status>unmodified</status>
      <modifiedWord/>
      <trackRevisions>false</trackRevisions>
    </reviewItem>
    <reviewItem>
      <errorID>64ce22ef-3a48-4674-96b4-ea5351eb5e83</errorID>
      <errorWord>(</errorWord>
      <group>L1_Format</group>
      <groupName>格式问题</groupName>
      <ability>L2_HalfPunc_CN</ability>
      <abilityName>全半角问题</abilityName>
      <candidateList>
        <item>（</item>
      </candidateList>
      <explain>文本全半角错误。</explain>
      <paraID>3A081279</paraID>
      <start>22</start>
      <end>23</end>
      <status>unmodified</status>
      <modifiedWord/>
      <trackRevisions>false</trackRevisions>
    </reviewItem>
    <reviewItem>
      <errorID>001ea3ee-9b23-4aeb-9ddf-176adeb9d280</errorID>
      <errorWord>)</errorWord>
      <group>L1_Format</group>
      <groupName>格式问题</groupName>
      <ability>L2_HalfPunc_CN</ability>
      <abilityName>全半角问题</abilityName>
      <candidateList>
        <item>）</item>
      </candidateList>
      <explain>文本全半角错误。</explain>
      <paraID>3A081279</paraID>
      <start>36</start>
      <end>37</end>
      <status>unmodified</status>
      <modifiedWord/>
      <trackRevisions>false</trackRevisions>
    </reviewItem>
    <reviewItem>
      <errorID>1f99f6b0-f8ff-4cd5-ab81-717322698cf3</errorID>
      <errorWord>,</errorWord>
      <group>L1_Format</group>
      <groupName>格式问题</groupName>
      <ability>L2_HalfPunc_CN</ability>
      <abilityName>全半角问题</abilityName>
      <candidateList>
        <item>，</item>
      </candidateList>
      <explain>文本全半角错误。</explain>
      <paraID>3A081279</paraID>
      <start>151</start>
      <end>152</end>
      <status>unmodified</status>
      <modifiedWord/>
      <trackRevisions>false</trackRevisions>
    </reviewItem>
    <reviewItem>
      <errorID>01a5113a-eeda-4e3d-ae0c-f232c00b5764</errorID>
      <errorWord>链接</errorWord>
      <group>L1_Word</group>
      <groupName>字词问题</groupName>
      <ability>L2_Typo</ability>
      <abilityName>字词错误</abilityName>
      <candidateList>
        <item>连接</item>
      </candidateList>
      <explain>存在发音相同字词的误用。</explain>
      <paraID>3A081279</paraID>
      <start>236</start>
      <end>238</end>
      <status>unmodified</status>
      <modifiedWord/>
      <trackRevisions>false</trackRevisions>
    </reviewItem>
    <reviewItem>
      <errorID>fafaee08-d25e-45ef-af01-bf58febdc555</errorID>
      <errorWord>Mpa</errorWord>
      <group>L1_English</group>
      <groupName>英文问题</groupName>
      <ability>L2_Case</ability>
      <abilityName>大小写问题</abilityName>
      <candidateList>
        <item>MPa</item>
      </candidateList>
      <explain>疑似单词大小写错误，建议将Mpa修改为MPa</explain>
      <paraID>3A081279</paraID>
      <start>337</start>
      <end>340</end>
      <status>unmodified</status>
      <modifiedWord/>
      <trackRevisions>false</trackRevisions>
    </reviewItem>
    <reviewItem>
      <errorID>dc6c643b-6a15-4079-8c98-132d65c8c548</errorID>
      <errorWord>、而</errorWord>
      <group>L1_Punc</group>
      <groupName>标点问题</groupName>
      <ability>L2_Punc_CN</ability>
      <abilityName>标点符号问题</abilityName>
      <candidateList>
        <item>，而</item>
      </candidateList>
      <explain>连接词前后不宜使用顿号，建议使用逗号。</explain>
      <paraID>3A081279</paraID>
      <start>424</start>
      <end>426</end>
      <status>unmodified</status>
      <modifiedWord/>
      <trackRevisions>false</trackRevisions>
    </reviewItem>
    <reviewItem>
      <errorID>1eb10522-75a0-476e-8e9d-0f371ed5d97b</errorID>
      <errorWord>刻划</errorWord>
      <group>L1_Word</group>
      <groupName>字词问题</groupName>
      <ability>L2_Variant</ability>
      <abilityName>异形词</abilityName>
      <candidateList>
        <item>刻画</item>
      </candidateList>
      <explain>词汇[刻划]的规范词形写作[刻画]。</explain>
      <paraID>3A081279</paraID>
      <start>617</start>
      <end>619</end>
      <status>unmodified</status>
      <modifiedWord/>
      <trackRevisions>false</trackRevisions>
    </reviewItem>
    <reviewItem>
      <errorID>74215d40-37fa-44e7-bf35-1ece63e36434</errorID>
      <errorWord>现槽</errorWord>
      <group>L1_Word</group>
      <groupName>字词问题</groupName>
      <ability>L2_Typo</ability>
      <abilityName>字词错误</abilityName>
      <candidateList>
        <item>线槽</item>
      </candidateList>
      <explain/>
      <paraID>3A081279</paraID>
      <start>871</start>
      <end>873</end>
      <status>unmodified</status>
      <modifiedWord/>
      <trackRevisions>false</trackRevisions>
    </reviewItem>
    <reviewItem>
      <errorID>e86f4c8c-8a55-4aad-bf60-b2efdc8cdbf8</errorID>
      <errorWord>联通</errorWord>
      <group>L1_Word</group>
      <groupName>字词问题</groupName>
      <ability>L2_Typo</ability>
      <abilityName>字词错误</abilityName>
      <candidateList>
        <item>连通</item>
      </candidateList>
      <explain>存在发音相同字词的误用。</explain>
      <paraID>3A081279</paraID>
      <start>921</start>
      <end>923</end>
      <status>unmodified</status>
      <modifiedWord/>
      <trackRevisions>false</trackRevisions>
    </reviewItem>
    <reviewItem>
      <errorID>baacea0d-90fb-4d4b-82e9-7f8e626b1ede</errorID>
      <errorWord>(</errorWord>
      <group>L1_Format</group>
      <groupName>格式问题</groupName>
      <ability>L2_HalfPunc_CN</ability>
      <abilityName>全半角问题</abilityName>
      <candidateList>
        <item>（</item>
      </candidateList>
      <explain>文本全半角错误。</explain>
      <paraID>5100ABEA</paraID>
      <start>40</start>
      <end>41</end>
      <status>unmodified</status>
      <modifiedWord/>
      <trackRevisions>false</trackRevisions>
    </reviewItem>
    <reviewItem>
      <errorID>d86a097b-b142-4299-9df7-a4561da889f8</errorID>
      <errorWord>)</errorWord>
      <group>L1_Format</group>
      <groupName>格式问题</groupName>
      <ability>L2_HalfPunc_CN</ability>
      <abilityName>全半角问题</abilityName>
      <candidateList>
        <item>）</item>
      </candidateList>
      <explain>文本全半角错误。</explain>
      <paraID>5100ABEA</paraID>
      <start>54</start>
      <end>55</end>
      <status>unmodified</status>
      <modifiedWord/>
      <trackRevisions>false</trackRevisions>
    </reviewItem>
    <reviewItem>
      <errorID>838dcd80-4c12-45d1-8230-552a047eb0f0</errorID>
      <errorWord>,</errorWord>
      <group>L1_Format</group>
      <groupName>格式问题</groupName>
      <ability>L2_HalfPunc_CN</ability>
      <abilityName>全半角问题</abilityName>
      <candidateList>
        <item>，</item>
      </candidateList>
      <explain>文本全半角错误。</explain>
      <paraID>5100ABEA</paraID>
      <start>169</start>
      <end>170</end>
      <status>unmodified</status>
      <modifiedWord/>
      <trackRevisions>false</trackRevisions>
    </reviewItem>
    <reviewItem>
      <errorID>91e69369-6678-4efd-ad71-d3cd6971822d</errorID>
      <errorWord>链接</errorWord>
      <group>L1_Word</group>
      <groupName>字词问题</groupName>
      <ability>L2_Typo</ability>
      <abilityName>字词错误</abilityName>
      <candidateList>
        <item>连接</item>
      </candidateList>
      <explain/>
      <paraID>5100ABEA</paraID>
      <start>254</start>
      <end>256</end>
      <status>unmodified</status>
      <modifiedWord/>
      <trackRevisions>false</trackRevisions>
    </reviewItem>
    <reviewItem>
      <errorID>5e0df6c4-d1a4-4b42-96d6-96ef10d17bab</errorID>
      <errorWord>Mpa</errorWord>
      <group>L1_English</group>
      <groupName>英文问题</groupName>
      <ability>L2_Case</ability>
      <abilityName>大小写问题</abilityName>
      <candidateList>
        <item>MPa</item>
      </candidateList>
      <explain>疑似单词大小写错误，建议将Mpa修改为MPa</explain>
      <paraID>5100ABEA</paraID>
      <start>355</start>
      <end>358</end>
      <status>unmodified</status>
      <modifiedWord/>
      <trackRevisions>false</trackRevisions>
    </reviewItem>
    <reviewItem>
      <errorID>047f2902-bac9-415b-b6ec-2eacdcbc7607</errorID>
      <errorWord>、而</errorWord>
      <group>L1_Punc</group>
      <groupName>标点问题</groupName>
      <ability>L2_Punc_CN</ability>
      <abilityName>标点符号问题</abilityName>
      <candidateList>
        <item>，而</item>
      </candidateList>
      <explain>连接词前后不宜使用顿号，建议使用逗号。</explain>
      <paraID>5100ABEA</paraID>
      <start>442</start>
      <end>444</end>
      <status>unmodified</status>
      <modifiedWord/>
      <trackRevisions>false</trackRevisions>
    </reviewItem>
    <reviewItem>
      <errorID>e26acd19-8115-440c-97c3-68bc20fdb1f6</errorID>
      <errorWord>刻划</errorWord>
      <group>L1_Word</group>
      <groupName>字词问题</groupName>
      <ability>L2_Variant</ability>
      <abilityName>异形词</abilityName>
      <candidateList>
        <item>刻画</item>
      </candidateList>
      <explain>词汇[刻划]的规范词形写作[刻画]。</explain>
      <paraID>5100ABEA</paraID>
      <start>636</start>
      <end>638</end>
      <status>unmodified</status>
      <modifiedWord/>
      <trackRevisions>false</trackRevisions>
    </reviewItem>
    <reviewItem>
      <errorID>ba760364-448c-47f1-8fae-14ce7bcc7166</errorID>
      <errorWord>现槽</errorWord>
      <group>L1_Word</group>
      <groupName>字词问题</groupName>
      <ability>L2_Typo</ability>
      <abilityName>字词错误</abilityName>
      <candidateList>
        <item>线槽</item>
      </candidateList>
      <explain/>
      <paraID>5100ABEA</paraID>
      <start>893</start>
      <end>895</end>
      <status>unmodified</status>
      <modifiedWord/>
      <trackRevisions>false</trackRevisions>
    </reviewItem>
    <reviewItem>
      <errorID>877dfe74-d0bc-4d05-a614-48b7544deb45</errorID>
      <errorWord>联通</errorWord>
      <group>L1_Word</group>
      <groupName>字词问题</groupName>
      <ability>L2_Typo</ability>
      <abilityName>字词错误</abilityName>
      <candidateList>
        <item>连通</item>
      </candidateList>
      <explain>存在发音相同字词的误用。</explain>
      <paraID>5100ABEA</paraID>
      <start>943</start>
      <end>945</end>
      <status>unmodified</status>
      <modifiedWord/>
      <trackRevisions>false</trackRevisions>
    </reviewItem>
    <reviewItem>
      <errorID>a9668ee5-05b6-4fac-bea5-77033dfd39c0</errorID>
      <errorWord>(</errorWord>
      <group>L1_Format</group>
      <groupName>格式问题</groupName>
      <ability>L2_HalfPunc_CN</ability>
      <abilityName>全半角问题</abilityName>
      <candidateList>
        <item>（</item>
      </candidateList>
      <explain>文本全半角错误。</explain>
      <paraID>6D431235</paraID>
      <start>24</start>
      <end>25</end>
      <status>unmodified</status>
      <modifiedWord/>
      <trackRevisions>false</trackRevisions>
    </reviewItem>
    <reviewItem>
      <errorID>0e136853-2cf8-45cd-ade7-b5345d76249b</errorID>
      <errorWord>)</errorWord>
      <group>L1_Format</group>
      <groupName>格式问题</groupName>
      <ability>L2_HalfPunc_CN</ability>
      <abilityName>全半角问题</abilityName>
      <candidateList>
        <item>）</item>
      </candidateList>
      <explain>文本全半角错误。</explain>
      <paraID>6D431235</paraID>
      <start>38</start>
      <end>39</end>
      <status>unmodified</status>
      <modifiedWord/>
      <trackRevisions>false</trackRevisions>
    </reviewItem>
    <reviewItem>
      <errorID>7549c3e0-d518-4aae-8e9c-2c6e11d7ab0a</errorID>
      <errorWord>,</errorWord>
      <group>L1_Format</group>
      <groupName>格式问题</groupName>
      <ability>L2_HalfPunc_CN</ability>
      <abilityName>全半角问题</abilityName>
      <candidateList>
        <item>，</item>
      </candidateList>
      <explain>文本全半角错误。</explain>
      <paraID>6D431235</paraID>
      <start>153</start>
      <end>154</end>
      <status>unmodified</status>
      <modifiedWord/>
      <trackRevisions>false</trackRevisions>
    </reviewItem>
    <reviewItem>
      <errorID>bcd5f37e-b7b0-4702-a5f3-65461d7b5595</errorID>
      <errorWord>链接</errorWord>
      <group>L1_Word</group>
      <groupName>字词问题</groupName>
      <ability>L2_Typo</ability>
      <abilityName>字词错误</abilityName>
      <candidateList>
        <item>连接</item>
      </candidateList>
      <explain>存在发音相同字词的误用。</explain>
      <paraID>6D431235</paraID>
      <start>238</start>
      <end>240</end>
      <status>unmodified</status>
      <modifiedWord/>
      <trackRevisions>false</trackRevisions>
    </reviewItem>
    <reviewItem>
      <errorID>8dcb8de5-367a-45b7-9501-917340cd402d</errorID>
      <errorWord>Mpa</errorWord>
      <group>L1_English</group>
      <groupName>英文问题</groupName>
      <ability>L2_Case</ability>
      <abilityName>大小写问题</abilityName>
      <candidateList>
        <item>MPa</item>
      </candidateList>
      <explain>疑似单词大小写错误，建议将Mpa修改为MPa</explain>
      <paraID>6D431235</paraID>
      <start>339</start>
      <end>342</end>
      <status>unmodified</status>
      <modifiedWord/>
      <trackRevisions>false</trackRevisions>
    </reviewItem>
    <reviewItem>
      <errorID>fe610255-729d-44c7-9d5b-30a59d020f9b</errorID>
      <errorWord>、而</errorWord>
      <group>L1_Punc</group>
      <groupName>标点问题</groupName>
      <ability>L2_Punc_CN</ability>
      <abilityName>标点符号问题</abilityName>
      <candidateList>
        <item>，而</item>
      </candidateList>
      <explain>连接词前后不宜使用顿号，建议使用逗号。</explain>
      <paraID>6D431235</paraID>
      <start>426</start>
      <end>428</end>
      <status>unmodified</status>
      <modifiedWord/>
      <trackRevisions>false</trackRevisions>
    </reviewItem>
    <reviewItem>
      <errorID>c5e0af76-bc58-4ca2-8a20-5a8d85ea7600</errorID>
      <errorWord>刻划</errorWord>
      <group>L1_Word</group>
      <groupName>字词问题</groupName>
      <ability>L2_Variant</ability>
      <abilityName>异形词</abilityName>
      <candidateList>
        <item>刻画</item>
      </candidateList>
      <explain>词汇[刻划]的规范词形写作[刻画]。</explain>
      <paraID>6D431235</paraID>
      <start>620</start>
      <end>622</end>
      <status>unmodified</status>
      <modifiedWord/>
      <trackRevisions>false</trackRevisions>
    </reviewItem>
    <reviewItem>
      <errorID>fba2649c-b8f1-436e-9abb-12f3ae30be60</errorID>
      <errorWord>现槽</errorWord>
      <group>L1_Word</group>
      <groupName>字词问题</groupName>
      <ability>L2_Typo</ability>
      <abilityName>字词错误</abilityName>
      <candidateList>
        <item>线槽</item>
      </candidateList>
      <explain/>
      <paraID>6D431235</paraID>
      <start>874</start>
      <end>876</end>
      <status>unmodified</status>
      <modifiedWord/>
      <trackRevisions>false</trackRevisions>
    </reviewItem>
    <reviewItem>
      <errorID>4b46bda9-f27e-42ff-a80f-2465c46ee348</errorID>
      <errorWord>联通</errorWord>
      <group>L1_Word</group>
      <groupName>字词问题</groupName>
      <ability>L2_Typo</ability>
      <abilityName>字词错误</abilityName>
      <candidateList>
        <item>连通</item>
      </candidateList>
      <explain>存在发音相同字词的误用。</explain>
      <paraID>6D431235</paraID>
      <start>924</start>
      <end>926</end>
      <status>unmodified</status>
      <modifiedWord/>
      <trackRevisions>false</trackRevisions>
    </reviewItem>
    <reviewItem>
      <errorID>9bb66412-f0f1-49fe-b831-3d7d662fe243</errorID>
      <errorWord>(</errorWord>
      <group>L1_Format</group>
      <groupName>格式问题</groupName>
      <ability>L2_HalfPunc_CN</ability>
      <abilityName>全半角问题</abilityName>
      <candidateList>
        <item>（</item>
      </candidateList>
      <explain>文本全半角错误。</explain>
      <paraID>1C64DFE6</paraID>
      <start>23</start>
      <end>24</end>
      <status>unmodified</status>
      <modifiedWord/>
      <trackRevisions>false</trackRevisions>
    </reviewItem>
    <reviewItem>
      <errorID>7b62a0a5-76d5-47f1-b07d-a7054a0d88ec</errorID>
      <errorWord>)</errorWord>
      <group>L1_Format</group>
      <groupName>格式问题</groupName>
      <ability>L2_HalfPunc_CN</ability>
      <abilityName>全半角问题</abilityName>
      <candidateList>
        <item>）</item>
      </candidateList>
      <explain>文本全半角错误。</explain>
      <paraID>1C64DFE6</paraID>
      <start>37</start>
      <end>38</end>
      <status>unmodified</status>
      <modifiedWord/>
      <trackRevisions>false</trackRevisions>
    </reviewItem>
    <reviewItem>
      <errorID>6ca2cf75-4189-450f-a806-c2aaaafa1ab5</errorID>
      <errorWord>,</errorWord>
      <group>L1_Format</group>
      <groupName>格式问题</groupName>
      <ability>L2_HalfPunc_CN</ability>
      <abilityName>全半角问题</abilityName>
      <candidateList>
        <item>，</item>
      </candidateList>
      <explain>文本全半角错误。</explain>
      <paraID>1C64DFE6</paraID>
      <start>151</start>
      <end>152</end>
      <status>unmodified</status>
      <modifiedWord/>
      <trackRevisions>false</trackRevisions>
    </reviewItem>
    <reviewItem>
      <errorID>c5e2a359-7e9e-4fea-b621-d79ccb82f030</errorID>
      <errorWord>链接</errorWord>
      <group>L1_Word</group>
      <groupName>字词问题</groupName>
      <ability>L2_Typo</ability>
      <abilityName>字词错误</abilityName>
      <candidateList>
        <item>连接</item>
      </candidateList>
      <explain>存在发音相同字词的误用。</explain>
      <paraID>1C64DFE6</paraID>
      <start>236</start>
      <end>238</end>
      <status>unmodified</status>
      <modifiedWord/>
      <trackRevisions>false</trackRevisions>
    </reviewItem>
    <reviewItem>
      <errorID>7a80395f-fa6e-486a-9c34-c3bdb5984a94</errorID>
      <errorWord>Mpa</errorWord>
      <group>L1_English</group>
      <groupName>英文问题</groupName>
      <ability>L2_Case</ability>
      <abilityName>大小写问题</abilityName>
      <candidateList>
        <item>MPa</item>
      </candidateList>
      <explain>疑似单词大小写错误，建议将Mpa修改为MPa</explain>
      <paraID>1C64DFE6</paraID>
      <start>337</start>
      <end>340</end>
      <status>unmodified</status>
      <modifiedWord/>
      <trackRevisions>false</trackRevisions>
    </reviewItem>
    <reviewItem>
      <errorID>a3d396f4-72bd-4e88-93d1-7fe703bed196</errorID>
      <errorWord>、而</errorWord>
      <group>L1_Punc</group>
      <groupName>标点问题</groupName>
      <ability>L2_Punc_CN</ability>
      <abilityName>标点符号问题</abilityName>
      <candidateList>
        <item>，而</item>
      </candidateList>
      <explain>连接词前后不宜使用顿号，建议使用逗号。</explain>
      <paraID>1C64DFE6</paraID>
      <start>424</start>
      <end>426</end>
      <status>unmodified</status>
      <modifiedWord/>
      <trackRevisions>false</trackRevisions>
    </reviewItem>
    <reviewItem>
      <errorID>080e5d1a-db18-4e79-81e5-f64147001267</errorID>
      <errorWord>刻划</errorWord>
      <group>L1_Word</group>
      <groupName>字词问题</groupName>
      <ability>L2_Variant</ability>
      <abilityName>异形词</abilityName>
      <candidateList>
        <item>刻画</item>
      </candidateList>
      <explain>词汇[刻划]的规范词形写作[刻画]。</explain>
      <paraID>1C64DFE6</paraID>
      <start>616</start>
      <end>618</end>
      <status>unmodified</status>
      <modifiedWord/>
      <trackRevisions>false</trackRevisions>
    </reviewItem>
    <reviewItem>
      <errorID>6125627a-548f-4195-86cc-d6d2e0a4e7cd</errorID>
      <errorWord>现槽</errorWord>
      <group>L1_Word</group>
      <groupName>字词问题</groupName>
      <ability>L2_Typo</ability>
      <abilityName>字词错误</abilityName>
      <candidateList>
        <item>线槽</item>
      </candidateList>
      <explain/>
      <paraID>1C64DFE6</paraID>
      <start>872</start>
      <end>874</end>
      <status>unmodified</status>
      <modifiedWord/>
      <trackRevisions>false</trackRevisions>
    </reviewItem>
    <reviewItem>
      <errorID>bd7308b1-137e-45a7-bf92-e5eda666a850</errorID>
      <errorWord>联通</errorWord>
      <group>L1_Word</group>
      <groupName>字词问题</groupName>
      <ability>L2_Typo</ability>
      <abilityName>字词错误</abilityName>
      <candidateList>
        <item>连通</item>
      </candidateList>
      <explain>存在发音相同字词的误用。</explain>
      <paraID>1C64DFE6</paraID>
      <start>922</start>
      <end>924</end>
      <status>unmodified</status>
      <modifiedWord/>
      <trackRevisions>false</trackRevisions>
    </reviewItem>
    <reviewItem>
      <errorID>dd33adbf-15f5-4e79-9958-8bf05ad99817</errorID>
      <errorWord>(</errorWord>
      <group>L1_Format</group>
      <groupName>格式问题</groupName>
      <ability>L2_HalfPunc_CN</ability>
      <abilityName>全半角问题</abilityName>
      <candidateList>
        <item>（</item>
      </candidateList>
      <explain>文本全半角错误。</explain>
      <paraID>4FEB52F3</paraID>
      <start>23</start>
      <end>24</end>
      <status>unmodified</status>
      <modifiedWord/>
      <trackRevisions>false</trackRevisions>
    </reviewItem>
    <reviewItem>
      <errorID>ccf4e31d-6a4d-488b-8cd7-3930854059df</errorID>
      <errorWord>)</errorWord>
      <group>L1_Format</group>
      <groupName>格式问题</groupName>
      <ability>L2_HalfPunc_CN</ability>
      <abilityName>全半角问题</abilityName>
      <candidateList>
        <item>）</item>
      </candidateList>
      <explain>文本全半角错误。</explain>
      <paraID>4FEB52F3</paraID>
      <start>37</start>
      <end>38</end>
      <status>unmodified</status>
      <modifiedWord/>
      <trackRevisions>false</trackRevisions>
    </reviewItem>
    <reviewItem>
      <errorID>22e136b6-6887-450d-b3d2-e9440a1c7c26</errorID>
      <errorWord>,</errorWord>
      <group>L1_Format</group>
      <groupName>格式问题</groupName>
      <ability>L2_HalfPunc_CN</ability>
      <abilityName>全半角问题</abilityName>
      <candidateList>
        <item>，</item>
      </candidateList>
      <explain>文本全半角错误。</explain>
      <paraID>4FEB52F3</paraID>
      <start>151</start>
      <end>152</end>
      <status>unmodified</status>
      <modifiedWord/>
      <trackRevisions>false</trackRevisions>
    </reviewItem>
    <reviewItem>
      <errorID>f78a6415-d446-4a22-92ca-d78265bac983</errorID>
      <errorWord>链接</errorWord>
      <group>L1_Word</group>
      <groupName>字词问题</groupName>
      <ability>L2_Typo</ability>
      <abilityName>字词错误</abilityName>
      <candidateList>
        <item>连接</item>
      </candidateList>
      <explain>存在发音相同字词的误用。</explain>
      <paraID>4FEB52F3</paraID>
      <start>236</start>
      <end>238</end>
      <status>unmodified</status>
      <modifiedWord/>
      <trackRevisions>false</trackRevisions>
    </reviewItem>
    <reviewItem>
      <errorID>1aa3037a-5e5f-465b-9a3d-3d944fd16395</errorID>
      <errorWord>Mpa</errorWord>
      <group>L1_English</group>
      <groupName>英文问题</groupName>
      <ability>L2_Case</ability>
      <abilityName>大小写问题</abilityName>
      <candidateList>
        <item>MPa</item>
      </candidateList>
      <explain>疑似单词大小写错误，建议将Mpa修改为MPa</explain>
      <paraID>4FEB52F3</paraID>
      <start>337</start>
      <end>340</end>
      <status>unmodified</status>
      <modifiedWord/>
      <trackRevisions>false</trackRevisions>
    </reviewItem>
    <reviewItem>
      <errorID>e290cfa3-8705-492d-8258-9c2c5edbdbec</errorID>
      <errorWord>、而</errorWord>
      <group>L1_Punc</group>
      <groupName>标点问题</groupName>
      <ability>L2_Punc_CN</ability>
      <abilityName>标点符号问题</abilityName>
      <candidateList>
        <item>，而</item>
      </candidateList>
      <explain>连接词前后不宜使用顿号，建议使用逗号。</explain>
      <paraID>4FEB52F3</paraID>
      <start>424</start>
      <end>426</end>
      <status>unmodified</status>
      <modifiedWord/>
      <trackRevisions>false</trackRevisions>
    </reviewItem>
    <reviewItem>
      <errorID>8b2cd9da-4d21-4ecf-b160-ab90da1aa423</errorID>
      <errorWord>刻划</errorWord>
      <group>L1_Word</group>
      <groupName>字词问题</groupName>
      <ability>L2_Variant</ability>
      <abilityName>异形词</abilityName>
      <candidateList>
        <item>刻画</item>
      </candidateList>
      <explain>词汇[刻划]的规范词形写作[刻画]。</explain>
      <paraID>4FEB52F3</paraID>
      <start>616</start>
      <end>618</end>
      <status>unmodified</status>
      <modifiedWord/>
      <trackRevisions>false</trackRevisions>
    </reviewItem>
    <reviewItem>
      <errorID>167f6499-6dc2-40f5-9de1-1e2feea90103</errorID>
      <errorWord>现槽</errorWord>
      <group>L1_Word</group>
      <groupName>字词问题</groupName>
      <ability>L2_Typo</ability>
      <abilityName>字词错误</abilityName>
      <candidateList>
        <item>线槽</item>
      </candidateList>
      <explain/>
      <paraID>4FEB52F3</paraID>
      <start>873</start>
      <end>875</end>
      <status>unmodified</status>
      <modifiedWord/>
      <trackRevisions>false</trackRevisions>
    </reviewItem>
    <reviewItem>
      <errorID>584de046-f370-476c-bbdb-101c98acc29d</errorID>
      <errorWord>联通</errorWord>
      <group>L1_Word</group>
      <groupName>字词问题</groupName>
      <ability>L2_Typo</ability>
      <abilityName>字词错误</abilityName>
      <candidateList>
        <item>连通</item>
      </candidateList>
      <explain>存在发音相同字词的误用。</explain>
      <paraID>4FEB52F3</paraID>
      <start>923</start>
      <end>925</end>
      <status>unmodified</status>
      <modifiedWord/>
      <trackRevisions>false</trackRevisions>
    </reviewItem>
    <reviewItem>
      <errorID>3eb87f32-3630-469e-ab71-25ebf422119c</errorID>
      <errorWord>(</errorWord>
      <group>L1_Format</group>
      <groupName>格式问题</groupName>
      <ability>L2_HalfPunc_CN</ability>
      <abilityName>全半角问题</abilityName>
      <candidateList>
        <item>（</item>
      </candidateList>
      <explain>文本全半角错误。</explain>
      <paraID>485412D6</paraID>
      <start>23</start>
      <end>24</end>
      <status>unmodified</status>
      <modifiedWord/>
      <trackRevisions>false</trackRevisions>
    </reviewItem>
    <reviewItem>
      <errorID>d7b44e20-8c2d-4de5-8927-fade251da407</errorID>
      <errorWord>)</errorWord>
      <group>L1_Format</group>
      <groupName>格式问题</groupName>
      <ability>L2_HalfPunc_CN</ability>
      <abilityName>全半角问题</abilityName>
      <candidateList>
        <item>）</item>
      </candidateList>
      <explain>文本全半角错误。</explain>
      <paraID>485412D6</paraID>
      <start>37</start>
      <end>38</end>
      <status>unmodified</status>
      <modifiedWord/>
      <trackRevisions>false</trackRevisions>
    </reviewItem>
    <reviewItem>
      <errorID>19db3a05-a520-4326-84f8-aecb9cabb84e</errorID>
      <errorWord>,</errorWord>
      <group>L1_Format</group>
      <groupName>格式问题</groupName>
      <ability>L2_HalfPunc_CN</ability>
      <abilityName>全半角问题</abilityName>
      <candidateList>
        <item>，</item>
      </candidateList>
      <explain>文本全半角错误。</explain>
      <paraID>485412D6</paraID>
      <start>151</start>
      <end>152</end>
      <status>unmodified</status>
      <modifiedWord/>
      <trackRevisions>false</trackRevisions>
    </reviewItem>
    <reviewItem>
      <errorID>e07b79c5-0555-4848-b16e-e2bacade64c0</errorID>
      <errorWord>链接</errorWord>
      <group>L1_Word</group>
      <groupName>字词问题</groupName>
      <ability>L2_Typo</ability>
      <abilityName>字词错误</abilityName>
      <candidateList>
        <item>连接</item>
      </candidateList>
      <explain>存在发音相同字词的误用。</explain>
      <paraID>485412D6</paraID>
      <start>236</start>
      <end>238</end>
      <status>unmodified</status>
      <modifiedWord/>
      <trackRevisions>false</trackRevisions>
    </reviewItem>
    <reviewItem>
      <errorID>7bc90101-9b7c-4f47-b5a0-7e4bdd75fd26</errorID>
      <errorWord>Mpa</errorWord>
      <group>L1_English</group>
      <groupName>英文问题</groupName>
      <ability>L2_Case</ability>
      <abilityName>大小写问题</abilityName>
      <candidateList>
        <item>MPa</item>
      </candidateList>
      <explain>疑似单词大小写错误，建议将Mpa修改为MPa</explain>
      <paraID>485412D6</paraID>
      <start>337</start>
      <end>340</end>
      <status>unmodified</status>
      <modifiedWord/>
      <trackRevisions>false</trackRevisions>
    </reviewItem>
    <reviewItem>
      <errorID>5c43fc14-7a56-46ad-bc1e-4bbfbb5c89a3</errorID>
      <errorWord>、而</errorWord>
      <group>L1_Punc</group>
      <groupName>标点问题</groupName>
      <ability>L2_Punc_CN</ability>
      <abilityName>标点符号问题</abilityName>
      <candidateList>
        <item>，而</item>
      </candidateList>
      <explain>连接词前后不宜使用顿号，建议使用逗号。</explain>
      <paraID>485412D6</paraID>
      <start>424</start>
      <end>426</end>
      <status>unmodified</status>
      <modifiedWord/>
      <trackRevisions>false</trackRevisions>
    </reviewItem>
    <reviewItem>
      <errorID>a359f416-2445-45c7-b520-ef0ccb49c29a</errorID>
      <errorWord>刻划</errorWord>
      <group>L1_Word</group>
      <groupName>字词问题</groupName>
      <ability>L2_Variant</ability>
      <abilityName>异形词</abilityName>
      <candidateList>
        <item>刻画</item>
      </candidateList>
      <explain>词汇[刻划]的规范词形写作[刻画]。</explain>
      <paraID>485412D6</paraID>
      <start>617</start>
      <end>619</end>
      <status>unmodified</status>
      <modifiedWord/>
      <trackRevisions>false</trackRevisions>
    </reviewItem>
    <reviewItem>
      <errorID>2b8ffd83-b4fb-43e0-879d-a4545fb2fc23</errorID>
      <errorWord>现槽</errorWord>
      <group>L1_Word</group>
      <groupName>字词问题</groupName>
      <ability>L2_Typo</ability>
      <abilityName>字词错误</abilityName>
      <candidateList>
        <item>线槽</item>
      </candidateList>
      <explain/>
      <paraID>485412D6</paraID>
      <start>871</start>
      <end>873</end>
      <status>unmodified</status>
      <modifiedWord/>
      <trackRevisions>false</trackRevisions>
    </reviewItem>
    <reviewItem>
      <errorID>04f0fd94-0ff2-43b9-bd48-37e572076c0c</errorID>
      <errorWord>联通</errorWord>
      <group>L1_Word</group>
      <groupName>字词问题</groupName>
      <ability>L2_Typo</ability>
      <abilityName>字词错误</abilityName>
      <candidateList>
        <item>连通</item>
      </candidateList>
      <explain>存在发音相同字词的误用。</explain>
      <paraID>485412D6</paraID>
      <start>921</start>
      <end>923</end>
      <status>unmodified</status>
      <modifiedWord/>
      <trackRevisions>false</trackRevisions>
    </reviewItem>
    <reviewItem>
      <errorID>7ddca055-d2f7-4e34-8fac-511757253799</errorID>
      <errorWord>,</errorWord>
      <group>L1_Format</group>
      <groupName>格式问题</groupName>
      <ability>L2_HalfPunc_CN</ability>
      <abilityName>全半角问题</abilityName>
      <candidateList>
        <item>，</item>
      </candidateList>
      <explain>文本全半角错误。</explain>
      <paraID>4E3ABADD</paraID>
      <start>136</start>
      <end>137</end>
      <status>unmodified</status>
      <modifiedWord/>
      <trackRevisions>false</trackRevisions>
    </reviewItem>
    <reviewItem>
      <errorID>d7c0c39d-0e21-4d5b-89aa-6afc88922431</errorID>
      <errorWord>链接</errorWord>
      <group>L1_Word</group>
      <groupName>字词问题</groupName>
      <ability>L2_Typo</ability>
      <abilityName>字词错误</abilityName>
      <candidateList>
        <item>连接</item>
      </candidateList>
      <explain>存在发音相同字词的误用。</explain>
      <paraID>4E3ABADD</paraID>
      <start>221</start>
      <end>223</end>
      <status>unmodified</status>
      <modifiedWord/>
      <trackRevisions>false</trackRevisions>
    </reviewItem>
    <reviewItem>
      <errorID>8cf85218-d4ab-41f6-8a2d-cd73379ba9b0</errorID>
      <errorWord>Mpa</errorWord>
      <group>L1_English</group>
      <groupName>英文问题</groupName>
      <ability>L2_Case</ability>
      <abilityName>大小写问题</abilityName>
      <candidateList>
        <item>MPa</item>
      </candidateList>
      <explain>疑似单词大小写错误，建议将Mpa修改为MPa</explain>
      <paraID>4E3ABADD</paraID>
      <start>322</start>
      <end>325</end>
      <status>unmodified</status>
      <modifiedWord/>
      <trackRevisions>false</trackRevisions>
    </reviewItem>
    <reviewItem>
      <errorID>1d30aa65-7144-4f6b-bf2d-590d04600695</errorID>
      <errorWord>、而</errorWord>
      <group>L1_Punc</group>
      <groupName>标点问题</groupName>
      <ability>L2_Punc_CN</ability>
      <abilityName>标点符号问题</abilityName>
      <candidateList>
        <item>，而</item>
      </candidateList>
      <explain>连接词前后不宜使用顿号，建议使用逗号。</explain>
      <paraID>4E3ABADD</paraID>
      <start>409</start>
      <end>411</end>
      <status>unmodified</status>
      <modifiedWord/>
      <trackRevisions>false</trackRevisions>
    </reviewItem>
    <reviewItem>
      <errorID>35be29f0-1ce0-47d7-bc38-160556c8efda</errorID>
      <errorWord>刻划</errorWord>
      <group>L1_Word</group>
      <groupName>字词问题</groupName>
      <ability>L2_Variant</ability>
      <abilityName>异形词</abilityName>
      <candidateList>
        <item>刻画</item>
      </candidateList>
      <explain>词汇[刻划]的规范词形写作[刻画]。</explain>
      <paraID>4E3ABADD</paraID>
      <start>601</start>
      <end>603</end>
      <status>unmodified</status>
      <modifiedWord/>
      <trackRevisions>false</trackRevisions>
    </reviewItem>
    <reviewItem>
      <errorID>bf16bcb8-1030-4997-9a36-dd75c2e1aee7</errorID>
      <errorWord>现槽</errorWord>
      <group>L1_Word</group>
      <groupName>字词问题</groupName>
      <ability>L2_Typo</ability>
      <abilityName>字词错误</abilityName>
      <candidateList>
        <item>线槽</item>
      </candidateList>
      <explain/>
      <paraID>4E3ABADD</paraID>
      <start>856</start>
      <end>858</end>
      <status>unmodified</status>
      <modifiedWord/>
      <trackRevisions>false</trackRevisions>
    </reviewItem>
    <reviewItem>
      <errorID>4b5eb45a-1c21-45a1-b6a4-d1e07a1375e6</errorID>
      <errorWord>联通</errorWord>
      <group>L1_Word</group>
      <groupName>字词问题</groupName>
      <ability>L2_Typo</ability>
      <abilityName>字词错误</abilityName>
      <candidateList>
        <item>连通</item>
      </candidateList>
      <explain>存在发音相同字词的误用。</explain>
      <paraID>4E3ABADD</paraID>
      <start>906</start>
      <end>908</end>
      <status>unmodified</status>
      <modifiedWord/>
      <trackRevisions>false</trackRevisions>
    </reviewItem>
    <reviewItem>
      <errorID>75103cb5-d7c7-4fc0-83eb-745c8cb63a0e</errorID>
      <errorWord>(</errorWord>
      <group>L1_Format</group>
      <groupName>格式问题</groupName>
      <ability>L2_HalfPunc_CN</ability>
      <abilityName>全半角问题</abilityName>
      <candidateList>
        <item>（</item>
      </candidateList>
      <explain>文本全半角错误。</explain>
      <paraID>317C125C</paraID>
      <start>23</start>
      <end>24</end>
      <status>unmodified</status>
      <modifiedWord/>
      <trackRevisions>false</trackRevisions>
    </reviewItem>
    <reviewItem>
      <errorID>30e7ab15-dd2b-41d9-8763-bb2ce498795a</errorID>
      <errorWord>)</errorWord>
      <group>L1_Format</group>
      <groupName>格式问题</groupName>
      <ability>L2_HalfPunc_CN</ability>
      <abilityName>全半角问题</abilityName>
      <candidateList>
        <item>）</item>
      </candidateList>
      <explain>文本全半角错误。</explain>
      <paraID>317C125C</paraID>
      <start>37</start>
      <end>38</end>
      <status>unmodified</status>
      <modifiedWord/>
      <trackRevisions>false</trackRevisions>
    </reviewItem>
    <reviewItem>
      <errorID>2d7495c6-7623-4040-803a-61ba3053c752</errorID>
      <errorWord>,</errorWord>
      <group>L1_Format</group>
      <groupName>格式问题</groupName>
      <ability>L2_HalfPunc_CN</ability>
      <abilityName>全半角问题</abilityName>
      <candidateList>
        <item>，</item>
      </candidateList>
      <explain>文本全半角错误。</explain>
      <paraID>317C125C</paraID>
      <start>152</start>
      <end>153</end>
      <status>unmodified</status>
      <modifiedWord/>
      <trackRevisions>false</trackRevisions>
    </reviewItem>
    <reviewItem>
      <errorID>ed4f6c26-b92d-42e8-86cd-3d5f265f7a06</errorID>
      <errorWord>链接</errorWord>
      <group>L1_Word</group>
      <groupName>字词问题</groupName>
      <ability>L2_Typo</ability>
      <abilityName>字词错误</abilityName>
      <candidateList>
        <item>连接</item>
      </candidateList>
      <explain>存在发音相同字词的误用。</explain>
      <paraID>317C125C</paraID>
      <start>237</start>
      <end>239</end>
      <status>unmodified</status>
      <modifiedWord/>
      <trackRevisions>false</trackRevisions>
    </reviewItem>
    <reviewItem>
      <errorID>b047afca-adc6-4566-96b5-4490d0a38616</errorID>
      <errorWord>Mpa</errorWord>
      <group>L1_English</group>
      <groupName>英文问题</groupName>
      <ability>L2_Case</ability>
      <abilityName>大小写问题</abilityName>
      <candidateList>
        <item>MPa</item>
      </candidateList>
      <explain>疑似单词大小写错误，建议将Mpa修改为MPa</explain>
      <paraID>317C125C</paraID>
      <start>338</start>
      <end>341</end>
      <status>unmodified</status>
      <modifiedWord/>
      <trackRevisions>false</trackRevisions>
    </reviewItem>
    <reviewItem>
      <errorID>46be2ba8-4129-49e7-ad4d-33b3e9f62483</errorID>
      <errorWord>、而</errorWord>
      <group>L1_Punc</group>
      <groupName>标点问题</groupName>
      <ability>L2_Punc_CN</ability>
      <abilityName>标点符号问题</abilityName>
      <candidateList>
        <item>，而</item>
      </candidateList>
      <explain>连接词前后不宜使用顿号，建议使用逗号。</explain>
      <paraID>317C125C</paraID>
      <start>425</start>
      <end>427</end>
      <status>unmodified</status>
      <modifiedWord/>
      <trackRevisions>false</trackRevisions>
    </reviewItem>
    <reviewItem>
      <errorID>33bf380d-5407-41f3-aad2-f0887482487d</errorID>
      <errorWord>刻划</errorWord>
      <group>L1_Word</group>
      <groupName>字词问题</groupName>
      <ability>L2_Variant</ability>
      <abilityName>异形词</abilityName>
      <candidateList>
        <item>刻画</item>
      </candidateList>
      <explain>词汇[刻划]的规范词形写作[刻画]。</explain>
      <paraID>317C125C</paraID>
      <start>617</start>
      <end>619</end>
      <status>unmodified</status>
      <modifiedWord/>
      <trackRevisions>false</trackRevisions>
    </reviewItem>
    <reviewItem>
      <errorID>e222afd0-834b-4f90-a850-e59221d7357f</errorID>
      <errorWord>现槽</errorWord>
      <group>L1_Word</group>
      <groupName>字词问题</groupName>
      <ability>L2_Typo</ability>
      <abilityName>字词错误</abilityName>
      <candidateList>
        <item>线槽</item>
      </candidateList>
      <explain/>
      <paraID>317C125C</paraID>
      <start>871</start>
      <end>873</end>
      <status>unmodified</status>
      <modifiedWord/>
      <trackRevisions>false</trackRevisions>
    </reviewItem>
    <reviewItem>
      <errorID>45fecd37-0a9d-4e4a-ae1d-f1db40e5b74d</errorID>
      <errorWord>联通</errorWord>
      <group>L1_Word</group>
      <groupName>字词问题</groupName>
      <ability>L2_Typo</ability>
      <abilityName>字词错误</abilityName>
      <candidateList>
        <item>连通</item>
      </candidateList>
      <explain>存在发音相同字词的误用。</explain>
      <paraID>317C125C</paraID>
      <start>921</start>
      <end>923</end>
      <status>unmodified</status>
      <modifiedWord/>
      <trackRevisions>false</trackRevisions>
    </reviewItem>
    <reviewItem>
      <errorID>432fea0f-f0ce-4ac1-946b-3d7f9411cc02</errorID>
      <errorWord>:</errorWord>
      <group>L1_Format</group>
      <groupName>格式问题</groupName>
      <ability>L2_HalfPunc_CN</ability>
      <abilityName>全半角问题</abilityName>
      <candidateList>
        <item>：</item>
      </candidateList>
      <explain>文本全半角错误。</explain>
      <paraID> 9E50897</paraID>
      <start>4</start>
      <end>5</end>
      <status>unmodified</status>
      <modifiedWord/>
      <trackRevisions>false</trackRevisions>
    </reviewItem>
    <reviewItem>
      <errorID>6a9f0e19-621e-4b05-bb94-068cbeaa0a1a</errorID>
      <errorWord>:</errorWord>
      <group>L1_Format</group>
      <groupName>格式问题</groupName>
      <ability>L2_HalfPunc_CN</ability>
      <abilityName>全半角问题</abilityName>
      <candidateList>
        <item>：</item>
      </candidateList>
      <explain>文本全半角错误。</explain>
      <paraID> 9E50897</paraID>
      <start>20</start>
      <end>21</end>
      <status>unmodified</status>
      <modifiedWord/>
      <trackRevisions>false</trackRevisions>
    </reviewItem>
    <reviewItem>
      <errorID>ab32a7c6-7f1c-4abb-a7db-63309eca99ff</errorID>
      <errorWord>:</errorWord>
      <group>L1_Format</group>
      <groupName>格式问题</groupName>
      <ability>L2_HalfPunc_CN</ability>
      <abilityName>全半角问题</abilityName>
      <candidateList>
        <item>：</item>
      </candidateList>
      <explain>文本全半角错误。</explain>
      <paraID> AC4049B</paraID>
      <start>9</start>
      <end>10</end>
      <status>unmodified</status>
      <modifiedWord/>
      <trackRevisions>false</trackRevisions>
    </reviewItem>
    <reviewItem>
      <errorID>6d512cc5-d26d-46c0-af44-557c60a07869</errorID>
      <errorWord>特网</errorWord>
      <group>L1_Word</group>
      <groupName>字词问题</groupName>
      <ability>L2_Typo</ability>
      <abilityName>字词错误</abilityName>
      <candidateList>
        <item>铁网</item>
      </candidateList>
      <explain>存在发音相近字词的误用。</explain>
      <paraID>1276A709</paraID>
      <start>24</start>
      <end>26</end>
      <status>unmodified</status>
      <modifiedWord/>
      <trackRevisions>false</trackRevisions>
    </reviewItem>
    <reviewItem>
      <errorID>4be6c970-ad50-4147-8ab1-5d39dd3ddfa7</errorID>
      <errorWord>(</errorWord>
      <group>L1_Format</group>
      <groupName>格式问题</groupName>
      <ability>L2_HalfPunc_CN</ability>
      <abilityName>全半角问题</abilityName>
      <candidateList>
        <item>（</item>
      </candidateList>
      <explain>文本全半角错误。</explain>
      <paraID>586F63F5</paraID>
      <start>12</start>
      <end>13</end>
      <status>unmodified</status>
      <modifiedWord/>
      <trackRevisions>false</trackRevisions>
    </reviewItem>
    <reviewItem>
      <errorID>cbd54d66-c6c5-4cd9-a44f-76c9dcec9bc2</errorID>
      <errorWord>特网</errorWord>
      <group>L1_Word</group>
      <groupName>字词问题</groupName>
      <ability>L2_Typo</ability>
      <abilityName>字词错误</abilityName>
      <candidateList>
        <item>铁网</item>
      </candidateList>
      <explain>存在发音相近字词的误用。</explain>
      <paraID>586F63F5</paraID>
      <start>29</start>
      <end>31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C5CA41F-BC05-4993-885C-3392AF19D27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焦进芳</dc:creator>
  <cp:lastModifiedBy>杨玉佳</cp:lastModifiedBy>
  <cp:revision>7</cp:revision>
  <dcterms:created xsi:type="dcterms:W3CDTF">2026-05-18T09:31:00Z</dcterms:created>
  <dcterms:modified xsi:type="dcterms:W3CDTF">2026-08-26T03:59:05Z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E547747586E84213AA04457B97B15A47_13</vt:lpwstr>
  </property>
  <property fmtid="{D5CDD505-2E9C-101B-9397-08002B2CF9AE}" pid="4" name="KSOTemplateDocerSaveRecord">
    <vt:lpwstr>eyJoZGlkIjoiMDYwNGJkMzdjMGI2ZmVlZjNlY2NmZDE5MWUwY2ZhMGEiLCJ1c2VySWQiOiI0MTY0NjE5MzgifQ==</vt:lpwstr>
  </property>
</Properties>
</file>